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E5FA2">
      <w:pPr>
        <w:jc w:val="center"/>
        <w:rPr>
          <w:rFonts w:ascii="宋体"/>
          <w:b/>
          <w:sz w:val="32"/>
          <w:szCs w:val="32"/>
        </w:rPr>
      </w:pPr>
    </w:p>
    <w:p w14:paraId="103F66B6">
      <w:pPr>
        <w:jc w:val="center"/>
        <w:rPr>
          <w:rFonts w:ascii="宋体"/>
          <w:b/>
          <w:sz w:val="32"/>
          <w:szCs w:val="32"/>
        </w:rPr>
      </w:pPr>
    </w:p>
    <w:p w14:paraId="537EFEFB">
      <w:pPr>
        <w:jc w:val="center"/>
        <w:rPr>
          <w:rFonts w:ascii="宋体"/>
          <w:b/>
          <w:sz w:val="32"/>
          <w:szCs w:val="32"/>
        </w:rPr>
      </w:pPr>
    </w:p>
    <w:p w14:paraId="67B1DB15">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6D8EA15C">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《大樱桃生产栽培技术规程》</w:t>
      </w:r>
    </w:p>
    <w:p w14:paraId="6BD16E4B">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0F4D2235">
      <w:pPr>
        <w:ind w:firstLine="643" w:firstLineChars="200"/>
        <w:rPr>
          <w:rFonts w:ascii="仿宋" w:hAnsi="仿宋" w:eastAsia="仿宋"/>
          <w:b/>
          <w:sz w:val="32"/>
          <w:szCs w:val="32"/>
        </w:rPr>
      </w:pPr>
    </w:p>
    <w:p w14:paraId="35EFAC88">
      <w:pPr>
        <w:ind w:firstLine="643" w:firstLineChars="200"/>
        <w:rPr>
          <w:rFonts w:ascii="仿宋" w:hAnsi="仿宋" w:eastAsia="仿宋"/>
          <w:b/>
          <w:sz w:val="32"/>
          <w:szCs w:val="32"/>
        </w:rPr>
      </w:pPr>
    </w:p>
    <w:p w14:paraId="74CA4B46">
      <w:pPr>
        <w:ind w:firstLine="643" w:firstLineChars="200"/>
        <w:rPr>
          <w:rFonts w:ascii="仿宋" w:hAnsi="仿宋" w:eastAsia="仿宋"/>
          <w:b/>
          <w:sz w:val="32"/>
          <w:szCs w:val="32"/>
        </w:rPr>
      </w:pPr>
    </w:p>
    <w:p w14:paraId="1C8DD569">
      <w:pPr>
        <w:ind w:firstLine="643" w:firstLineChars="200"/>
        <w:rPr>
          <w:rFonts w:ascii="仿宋" w:hAnsi="仿宋" w:eastAsia="仿宋"/>
          <w:b/>
          <w:sz w:val="32"/>
          <w:szCs w:val="32"/>
        </w:rPr>
      </w:pPr>
    </w:p>
    <w:p w14:paraId="1D080DB3">
      <w:pPr>
        <w:ind w:firstLine="643" w:firstLineChars="200"/>
        <w:rPr>
          <w:rFonts w:ascii="仿宋" w:hAnsi="仿宋" w:eastAsia="仿宋"/>
          <w:b/>
          <w:sz w:val="32"/>
          <w:szCs w:val="32"/>
        </w:rPr>
      </w:pPr>
    </w:p>
    <w:p w14:paraId="64949B51">
      <w:pPr>
        <w:ind w:firstLine="643" w:firstLineChars="200"/>
        <w:rPr>
          <w:rFonts w:ascii="仿宋" w:hAnsi="仿宋" w:eastAsia="仿宋"/>
          <w:b/>
          <w:sz w:val="32"/>
          <w:szCs w:val="32"/>
        </w:rPr>
      </w:pPr>
    </w:p>
    <w:p w14:paraId="6388EAB0">
      <w:pPr>
        <w:ind w:firstLine="643" w:firstLineChars="200"/>
        <w:rPr>
          <w:rFonts w:ascii="仿宋" w:hAnsi="仿宋" w:eastAsia="仿宋"/>
          <w:b/>
          <w:sz w:val="32"/>
          <w:szCs w:val="32"/>
        </w:rPr>
      </w:pPr>
    </w:p>
    <w:p w14:paraId="19EC9C7F">
      <w:pPr>
        <w:ind w:firstLine="643" w:firstLineChars="200"/>
        <w:jc w:val="center"/>
        <w:rPr>
          <w:rFonts w:ascii="仿宋" w:hAnsi="仿宋" w:eastAsia="仿宋"/>
          <w:b/>
          <w:sz w:val="32"/>
          <w:szCs w:val="32"/>
        </w:rPr>
      </w:pPr>
    </w:p>
    <w:p w14:paraId="7416C1A0">
      <w:pPr>
        <w:ind w:firstLine="643" w:firstLineChars="200"/>
        <w:jc w:val="center"/>
        <w:rPr>
          <w:rFonts w:ascii="宋体"/>
          <w:b/>
          <w:sz w:val="32"/>
          <w:szCs w:val="32"/>
        </w:rPr>
      </w:pPr>
    </w:p>
    <w:p w14:paraId="48404707">
      <w:pPr>
        <w:ind w:firstLine="643" w:firstLineChars="200"/>
        <w:jc w:val="center"/>
        <w:rPr>
          <w:rFonts w:ascii="宋体"/>
          <w:b/>
          <w:sz w:val="32"/>
          <w:szCs w:val="32"/>
        </w:rPr>
      </w:pPr>
    </w:p>
    <w:p w14:paraId="0109C702">
      <w:pPr>
        <w:ind w:firstLine="643" w:firstLineChars="200"/>
        <w:jc w:val="center"/>
        <w:rPr>
          <w:rFonts w:ascii="宋体"/>
          <w:b/>
          <w:sz w:val="32"/>
          <w:szCs w:val="32"/>
        </w:rPr>
      </w:pPr>
    </w:p>
    <w:p w14:paraId="100BADE4">
      <w:pPr>
        <w:spacing w:line="360" w:lineRule="auto"/>
        <w:jc w:val="center"/>
        <w:rPr>
          <w:rFonts w:ascii="宋体" w:hAnsi="宋体"/>
          <w:b/>
          <w:kern w:val="22"/>
          <w:sz w:val="10"/>
          <w:szCs w:val="10"/>
        </w:rPr>
      </w:pPr>
      <w:r>
        <w:rPr>
          <w:rFonts w:hint="eastAsia" w:ascii="宋体" w:hAnsi="宋体"/>
          <w:b/>
          <w:kern w:val="22"/>
          <w:sz w:val="32"/>
          <w:szCs w:val="32"/>
        </w:rPr>
        <w:t>编制单位：山西农业大学果树研究所</w:t>
      </w:r>
    </w:p>
    <w:p w14:paraId="04B11854">
      <w:pPr>
        <w:jc w:val="center"/>
        <w:rPr>
          <w:rFonts w:ascii="宋体" w:hAnsi="宋体"/>
          <w:b/>
          <w:sz w:val="32"/>
          <w:szCs w:val="32"/>
        </w:rPr>
      </w:pPr>
      <w:r>
        <w:rPr>
          <w:rFonts w:hint="eastAsia" w:ascii="宋体" w:hAnsi="宋体"/>
          <w:b/>
          <w:sz w:val="32"/>
          <w:szCs w:val="32"/>
        </w:rPr>
        <w:t xml:space="preserve"> 二〇二四年一月</w:t>
      </w:r>
    </w:p>
    <w:p w14:paraId="7AE84383">
      <w:pPr>
        <w:jc w:val="center"/>
        <w:rPr>
          <w:rFonts w:ascii="宋体" w:hAnsi="宋体"/>
          <w:b/>
          <w:sz w:val="32"/>
          <w:szCs w:val="32"/>
        </w:rPr>
      </w:pPr>
    </w:p>
    <w:p w14:paraId="35289049">
      <w:pPr>
        <w:jc w:val="center"/>
        <w:rPr>
          <w:rFonts w:ascii="宋体" w:hAnsi="宋体"/>
          <w:b/>
          <w:sz w:val="32"/>
          <w:szCs w:val="32"/>
        </w:rPr>
      </w:pPr>
    </w:p>
    <w:p w14:paraId="7FA72ABF">
      <w:pPr>
        <w:jc w:val="center"/>
        <w:rPr>
          <w:rFonts w:ascii="宋体" w:hAnsi="宋体"/>
          <w:b/>
          <w:sz w:val="32"/>
          <w:szCs w:val="32"/>
        </w:rPr>
      </w:pPr>
    </w:p>
    <w:p w14:paraId="09663015">
      <w:pPr>
        <w:spacing w:line="520" w:lineRule="exact"/>
        <w:jc w:val="center"/>
        <w:rPr>
          <w:rFonts w:ascii="宋体"/>
          <w:b/>
          <w:sz w:val="30"/>
          <w:szCs w:val="30"/>
        </w:rPr>
      </w:pPr>
      <w:r>
        <w:rPr>
          <w:rFonts w:hint="eastAsia" w:ascii="宋体" w:hAnsi="宋体"/>
          <w:b/>
          <w:sz w:val="30"/>
          <w:szCs w:val="30"/>
        </w:rPr>
        <w:t>山西省地方标准</w:t>
      </w:r>
    </w:p>
    <w:p w14:paraId="0B7E0EBD">
      <w:pPr>
        <w:spacing w:line="520" w:lineRule="exact"/>
        <w:jc w:val="center"/>
        <w:rPr>
          <w:rFonts w:ascii="宋体"/>
          <w:b/>
          <w:sz w:val="30"/>
          <w:szCs w:val="30"/>
        </w:rPr>
      </w:pPr>
      <w:r>
        <w:rPr>
          <w:rFonts w:hint="eastAsia" w:ascii="宋体" w:hAnsi="宋体"/>
          <w:b/>
          <w:sz w:val="30"/>
          <w:szCs w:val="30"/>
        </w:rPr>
        <w:t>《大樱桃生产栽培技术规程》</w:t>
      </w:r>
    </w:p>
    <w:p w14:paraId="714BEA92">
      <w:pPr>
        <w:spacing w:line="520" w:lineRule="exact"/>
        <w:jc w:val="center"/>
        <w:rPr>
          <w:rFonts w:ascii="宋体" w:hAnsi="宋体"/>
          <w:b/>
          <w:sz w:val="30"/>
          <w:szCs w:val="30"/>
        </w:rPr>
      </w:pPr>
      <w:r>
        <w:rPr>
          <w:rFonts w:hint="eastAsia" w:ascii="宋体" w:hAnsi="宋体"/>
          <w:b/>
          <w:sz w:val="30"/>
          <w:szCs w:val="30"/>
        </w:rPr>
        <w:t>编制说明</w:t>
      </w:r>
    </w:p>
    <w:p w14:paraId="68C9414C">
      <w:pPr>
        <w:spacing w:line="520" w:lineRule="exact"/>
        <w:jc w:val="center"/>
        <w:rPr>
          <w:rFonts w:ascii="宋体" w:hAnsi="宋体"/>
          <w:b/>
          <w:sz w:val="30"/>
          <w:szCs w:val="30"/>
        </w:rPr>
      </w:pPr>
    </w:p>
    <w:p w14:paraId="3DCB788B">
      <w:pPr>
        <w:tabs>
          <w:tab w:val="left" w:pos="630"/>
        </w:tabs>
        <w:spacing w:line="600" w:lineRule="exact"/>
        <w:ind w:right="17" w:firstLine="643" w:firstLineChars="200"/>
        <w:rPr>
          <w:rFonts w:ascii="宋体" w:hAnsi="宋体" w:cs="宋体"/>
          <w:b/>
          <w:sz w:val="32"/>
          <w:szCs w:val="32"/>
        </w:rPr>
      </w:pPr>
      <w:r>
        <w:rPr>
          <w:rFonts w:hint="eastAsia" w:ascii="宋体" w:hAnsi="宋体" w:cs="宋体"/>
          <w:b/>
          <w:sz w:val="32"/>
          <w:szCs w:val="32"/>
        </w:rPr>
        <w:t>一、工作简况</w:t>
      </w:r>
    </w:p>
    <w:p w14:paraId="627AAEE6">
      <w:pPr>
        <w:spacing w:line="600" w:lineRule="exact"/>
        <w:ind w:right="17" w:firstLine="482" w:firstLineChars="150"/>
        <w:rPr>
          <w:rFonts w:ascii="楷体_GB2312" w:hAnsi="宋体" w:eastAsia="楷体_GB2312"/>
          <w:b/>
          <w:sz w:val="32"/>
          <w:szCs w:val="32"/>
        </w:rPr>
      </w:pPr>
      <w:r>
        <w:rPr>
          <w:rFonts w:hint="eastAsia" w:ascii="楷体_GB2312" w:hAnsi="宋体" w:eastAsia="楷体_GB2312"/>
          <w:b/>
          <w:sz w:val="32"/>
          <w:szCs w:val="32"/>
        </w:rPr>
        <w:t>（一）任务来源</w:t>
      </w:r>
    </w:p>
    <w:p w14:paraId="15053337">
      <w:pPr>
        <w:tabs>
          <w:tab w:val="left" w:pos="630"/>
        </w:tabs>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按照山西省市场监督管理局关于2022年度省级地方标准复审结论公告（山西省地方标准公告2022年第20号），《大樱桃生产栽培技术规程》DB14/T 790-2013被列入山西省地方标准修订计划，本标准由山西省农业标准化技术委员会（SXS/TC19）归口。</w:t>
      </w:r>
    </w:p>
    <w:p w14:paraId="250E422E">
      <w:pPr>
        <w:spacing w:line="600" w:lineRule="exact"/>
        <w:ind w:right="17" w:firstLine="482" w:firstLineChars="150"/>
        <w:rPr>
          <w:rFonts w:ascii="楷体_GB2312" w:hAnsi="宋体" w:eastAsia="楷体_GB2312"/>
          <w:b/>
          <w:sz w:val="32"/>
          <w:szCs w:val="32"/>
        </w:rPr>
      </w:pPr>
      <w:r>
        <w:rPr>
          <w:rFonts w:hint="eastAsia" w:ascii="楷体_GB2312" w:hAnsi="宋体" w:eastAsia="楷体_GB2312"/>
          <w:b/>
          <w:sz w:val="32"/>
          <w:szCs w:val="32"/>
        </w:rPr>
        <w:t>（二）起草单位和主要起草人</w:t>
      </w:r>
    </w:p>
    <w:p w14:paraId="0B909B12">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山西农业大学果树研究所（单位）承担</w:t>
      </w:r>
      <w:r>
        <w:rPr>
          <w:rFonts w:ascii="仿宋_GB2312" w:hAnsi="宋体" w:eastAsia="仿宋_GB2312"/>
          <w:sz w:val="24"/>
        </w:rPr>
        <w:t>。</w:t>
      </w:r>
    </w:p>
    <w:p w14:paraId="1CBDE27F">
      <w:pPr>
        <w:spacing w:line="600" w:lineRule="exact"/>
        <w:ind w:right="17" w:firstLine="2731" w:firstLineChars="850"/>
        <w:rPr>
          <w:rFonts w:ascii="楷体_GB2312" w:hAnsi="宋体" w:eastAsia="楷体_GB2312"/>
          <w:b/>
          <w:sz w:val="32"/>
          <w:szCs w:val="32"/>
        </w:rPr>
      </w:pPr>
      <w:r>
        <w:rPr>
          <w:rFonts w:hint="eastAsia" w:ascii="楷体_GB2312" w:hAnsi="宋体" w:eastAsia="楷体_GB2312"/>
          <w:b/>
          <w:sz w:val="32"/>
          <w:szCs w:val="32"/>
        </w:rPr>
        <w:t>主要起草人信息</w:t>
      </w:r>
    </w:p>
    <w:tbl>
      <w:tblPr>
        <w:tblStyle w:val="12"/>
        <w:tblW w:w="8250"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912"/>
        <w:gridCol w:w="1782"/>
        <w:gridCol w:w="2970"/>
        <w:gridCol w:w="1575"/>
      </w:tblGrid>
      <w:tr w14:paraId="5FA9E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Pr>
          <w:p w14:paraId="3C1CAC64">
            <w:pPr>
              <w:spacing w:line="400" w:lineRule="exact"/>
              <w:jc w:val="center"/>
              <w:rPr>
                <w:rFonts w:ascii="楷体" w:hAnsi="楷体" w:eastAsia="楷体" w:cs="楷体"/>
                <w:b/>
                <w:bCs/>
                <w:sz w:val="32"/>
                <w:szCs w:val="32"/>
              </w:rPr>
            </w:pPr>
            <w:r>
              <w:rPr>
                <w:rFonts w:hint="eastAsia" w:ascii="楷体" w:hAnsi="楷体" w:eastAsia="楷体" w:cs="楷体"/>
                <w:b/>
                <w:bCs/>
                <w:sz w:val="32"/>
                <w:szCs w:val="32"/>
              </w:rPr>
              <w:t>姓名</w:t>
            </w:r>
          </w:p>
        </w:tc>
        <w:tc>
          <w:tcPr>
            <w:tcW w:w="912" w:type="dxa"/>
          </w:tcPr>
          <w:p w14:paraId="4FED2EB5">
            <w:pPr>
              <w:spacing w:line="400" w:lineRule="exact"/>
              <w:jc w:val="center"/>
              <w:rPr>
                <w:rFonts w:ascii="楷体" w:hAnsi="楷体" w:eastAsia="楷体" w:cs="楷体"/>
                <w:b/>
                <w:bCs/>
                <w:sz w:val="32"/>
                <w:szCs w:val="32"/>
              </w:rPr>
            </w:pPr>
            <w:r>
              <w:rPr>
                <w:rFonts w:hint="eastAsia" w:ascii="楷体" w:hAnsi="楷体" w:eastAsia="楷体" w:cs="楷体"/>
                <w:b/>
                <w:bCs/>
                <w:sz w:val="32"/>
                <w:szCs w:val="32"/>
              </w:rPr>
              <w:t>性别</w:t>
            </w:r>
          </w:p>
        </w:tc>
        <w:tc>
          <w:tcPr>
            <w:tcW w:w="1782" w:type="dxa"/>
          </w:tcPr>
          <w:p w14:paraId="54E59DB6">
            <w:pPr>
              <w:spacing w:line="400" w:lineRule="exact"/>
              <w:jc w:val="center"/>
              <w:rPr>
                <w:rFonts w:ascii="楷体" w:hAnsi="楷体" w:eastAsia="楷体" w:cs="楷体"/>
                <w:b/>
                <w:bCs/>
                <w:sz w:val="32"/>
                <w:szCs w:val="32"/>
              </w:rPr>
            </w:pPr>
            <w:r>
              <w:rPr>
                <w:rFonts w:hint="eastAsia" w:ascii="楷体" w:hAnsi="楷体" w:eastAsia="楷体" w:cs="楷体"/>
                <w:b/>
                <w:bCs/>
                <w:sz w:val="32"/>
                <w:szCs w:val="32"/>
              </w:rPr>
              <w:t>职务/职称</w:t>
            </w:r>
          </w:p>
        </w:tc>
        <w:tc>
          <w:tcPr>
            <w:tcW w:w="2970" w:type="dxa"/>
          </w:tcPr>
          <w:p w14:paraId="3073C936">
            <w:pPr>
              <w:spacing w:line="400" w:lineRule="exact"/>
              <w:jc w:val="center"/>
              <w:rPr>
                <w:rFonts w:ascii="楷体" w:hAnsi="楷体" w:eastAsia="楷体" w:cs="楷体"/>
                <w:b/>
                <w:bCs/>
                <w:sz w:val="32"/>
                <w:szCs w:val="32"/>
              </w:rPr>
            </w:pPr>
            <w:r>
              <w:rPr>
                <w:rFonts w:hint="eastAsia" w:ascii="楷体" w:hAnsi="楷体" w:eastAsia="楷体" w:cs="楷体"/>
                <w:b/>
                <w:bCs/>
                <w:sz w:val="32"/>
                <w:szCs w:val="32"/>
              </w:rPr>
              <w:t>工作单位</w:t>
            </w:r>
          </w:p>
        </w:tc>
        <w:tc>
          <w:tcPr>
            <w:tcW w:w="1575" w:type="dxa"/>
          </w:tcPr>
          <w:p w14:paraId="2F238C76">
            <w:pPr>
              <w:spacing w:line="400" w:lineRule="exact"/>
              <w:jc w:val="center"/>
              <w:rPr>
                <w:rFonts w:ascii="楷体" w:hAnsi="楷体" w:eastAsia="楷体" w:cs="楷体"/>
                <w:b/>
                <w:bCs/>
                <w:sz w:val="32"/>
                <w:szCs w:val="32"/>
              </w:rPr>
            </w:pPr>
            <w:r>
              <w:rPr>
                <w:rFonts w:hint="eastAsia" w:ascii="楷体" w:hAnsi="楷体" w:eastAsia="楷体" w:cs="楷体"/>
                <w:b/>
                <w:bCs/>
                <w:sz w:val="32"/>
                <w:szCs w:val="32"/>
              </w:rPr>
              <w:t>任务分工</w:t>
            </w:r>
          </w:p>
        </w:tc>
      </w:tr>
      <w:tr w14:paraId="5F6B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Pr>
          <w:p w14:paraId="5E01CB1E">
            <w:pPr>
              <w:spacing w:line="400" w:lineRule="exact"/>
              <w:jc w:val="center"/>
            </w:pPr>
            <w:r>
              <w:rPr>
                <w:rFonts w:hint="eastAsia"/>
              </w:rPr>
              <w:t>张生智</w:t>
            </w:r>
          </w:p>
        </w:tc>
        <w:tc>
          <w:tcPr>
            <w:tcW w:w="912" w:type="dxa"/>
          </w:tcPr>
          <w:p w14:paraId="2085869C">
            <w:pPr>
              <w:spacing w:line="400" w:lineRule="exact"/>
              <w:jc w:val="center"/>
              <w:rPr>
                <w:rFonts w:ascii="仿宋" w:hAnsi="仿宋" w:eastAsia="仿宋" w:cs="Courier New"/>
                <w:sz w:val="24"/>
              </w:rPr>
            </w:pPr>
            <w:r>
              <w:rPr>
                <w:rFonts w:hint="eastAsia" w:ascii="仿宋" w:hAnsi="仿宋" w:eastAsia="仿宋" w:cs="Courier New"/>
                <w:sz w:val="24"/>
              </w:rPr>
              <w:t>男</w:t>
            </w:r>
          </w:p>
        </w:tc>
        <w:tc>
          <w:tcPr>
            <w:tcW w:w="1782" w:type="dxa"/>
          </w:tcPr>
          <w:p w14:paraId="182C47B4">
            <w:pPr>
              <w:spacing w:line="400" w:lineRule="exact"/>
              <w:jc w:val="center"/>
              <w:rPr>
                <w:rFonts w:ascii="仿宋" w:hAnsi="仿宋" w:eastAsia="仿宋" w:cs="Courier New"/>
                <w:sz w:val="24"/>
              </w:rPr>
            </w:pPr>
            <w:r>
              <w:rPr>
                <w:rFonts w:hint="eastAsia" w:ascii="仿宋" w:hAnsi="仿宋" w:eastAsia="仿宋" w:cs="Courier New"/>
                <w:sz w:val="24"/>
              </w:rPr>
              <w:t>主任/副研究员</w:t>
            </w:r>
          </w:p>
        </w:tc>
        <w:tc>
          <w:tcPr>
            <w:tcW w:w="2970" w:type="dxa"/>
          </w:tcPr>
          <w:p w14:paraId="445C8136">
            <w:pPr>
              <w:spacing w:line="400" w:lineRule="exact"/>
              <w:jc w:val="center"/>
              <w:rPr>
                <w:rFonts w:ascii="仿宋" w:hAnsi="仿宋" w:eastAsia="仿宋" w:cs="Courier New"/>
                <w:sz w:val="24"/>
              </w:rPr>
            </w:pPr>
            <w:r>
              <w:rPr>
                <w:rFonts w:hint="eastAsia" w:ascii="仿宋" w:hAnsi="仿宋" w:eastAsia="仿宋" w:cs="Courier New"/>
                <w:sz w:val="24"/>
              </w:rPr>
              <w:t>山西农业大学果树研究所</w:t>
            </w:r>
          </w:p>
        </w:tc>
        <w:tc>
          <w:tcPr>
            <w:tcW w:w="1575" w:type="dxa"/>
          </w:tcPr>
          <w:p w14:paraId="78B49865">
            <w:pPr>
              <w:spacing w:line="400" w:lineRule="exact"/>
              <w:jc w:val="center"/>
              <w:rPr>
                <w:rFonts w:ascii="仿宋" w:hAnsi="仿宋" w:eastAsia="仿宋" w:cs="Courier New"/>
                <w:sz w:val="24"/>
              </w:rPr>
            </w:pPr>
            <w:r>
              <w:rPr>
                <w:rFonts w:hint="eastAsia" w:ascii="仿宋" w:hAnsi="仿宋" w:eastAsia="仿宋" w:cs="Courier New"/>
                <w:sz w:val="24"/>
              </w:rPr>
              <w:t>标准修订</w:t>
            </w:r>
          </w:p>
        </w:tc>
      </w:tr>
      <w:tr w14:paraId="2064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Pr>
          <w:p w14:paraId="6E2DCC20">
            <w:pPr>
              <w:spacing w:line="400" w:lineRule="exact"/>
              <w:jc w:val="center"/>
            </w:pPr>
            <w:r>
              <w:rPr>
                <w:rFonts w:hint="eastAsia"/>
              </w:rPr>
              <w:t>张未仲</w:t>
            </w:r>
          </w:p>
        </w:tc>
        <w:tc>
          <w:tcPr>
            <w:tcW w:w="912" w:type="dxa"/>
          </w:tcPr>
          <w:p w14:paraId="551C999C">
            <w:pPr>
              <w:spacing w:line="400" w:lineRule="exact"/>
              <w:jc w:val="center"/>
              <w:rPr>
                <w:rFonts w:ascii="仿宋" w:hAnsi="仿宋" w:eastAsia="仿宋" w:cs="Courier New"/>
                <w:sz w:val="24"/>
              </w:rPr>
            </w:pPr>
            <w:r>
              <w:rPr>
                <w:rFonts w:hint="eastAsia" w:ascii="仿宋" w:hAnsi="仿宋" w:eastAsia="仿宋" w:cs="Courier New"/>
                <w:sz w:val="24"/>
              </w:rPr>
              <w:t>男</w:t>
            </w:r>
          </w:p>
        </w:tc>
        <w:tc>
          <w:tcPr>
            <w:tcW w:w="1782" w:type="dxa"/>
          </w:tcPr>
          <w:p w14:paraId="49D12CC1">
            <w:pPr>
              <w:spacing w:line="400" w:lineRule="exact"/>
              <w:jc w:val="center"/>
              <w:rPr>
                <w:rFonts w:ascii="仿宋" w:hAnsi="仿宋" w:eastAsia="仿宋" w:cs="Courier New"/>
                <w:sz w:val="24"/>
              </w:rPr>
            </w:pPr>
            <w:r>
              <w:rPr>
                <w:rFonts w:hint="eastAsia" w:ascii="仿宋" w:hAnsi="仿宋" w:eastAsia="仿宋" w:cs="Courier New"/>
                <w:sz w:val="24"/>
              </w:rPr>
              <w:t>助理研究员</w:t>
            </w:r>
          </w:p>
        </w:tc>
        <w:tc>
          <w:tcPr>
            <w:tcW w:w="2970" w:type="dxa"/>
          </w:tcPr>
          <w:p w14:paraId="7285C512">
            <w:pPr>
              <w:spacing w:line="400" w:lineRule="exact"/>
              <w:jc w:val="center"/>
              <w:rPr>
                <w:rFonts w:ascii="仿宋" w:hAnsi="仿宋" w:eastAsia="仿宋" w:cs="Courier New"/>
                <w:sz w:val="24"/>
              </w:rPr>
            </w:pPr>
            <w:r>
              <w:rPr>
                <w:rFonts w:hint="eastAsia" w:ascii="仿宋" w:hAnsi="仿宋" w:eastAsia="仿宋" w:cs="Courier New"/>
                <w:sz w:val="24"/>
              </w:rPr>
              <w:t>山西农业大学果树研究所</w:t>
            </w:r>
          </w:p>
        </w:tc>
        <w:tc>
          <w:tcPr>
            <w:tcW w:w="1575" w:type="dxa"/>
          </w:tcPr>
          <w:p w14:paraId="60FACD1E">
            <w:pPr>
              <w:spacing w:line="400" w:lineRule="exact"/>
              <w:jc w:val="center"/>
              <w:rPr>
                <w:rFonts w:ascii="仿宋" w:hAnsi="仿宋" w:eastAsia="仿宋" w:cs="Courier New"/>
                <w:sz w:val="24"/>
              </w:rPr>
            </w:pPr>
            <w:r>
              <w:rPr>
                <w:rFonts w:hint="eastAsia" w:ascii="仿宋" w:hAnsi="仿宋" w:eastAsia="仿宋" w:cs="Courier New"/>
                <w:sz w:val="24"/>
              </w:rPr>
              <w:t>标准修订</w:t>
            </w:r>
          </w:p>
        </w:tc>
      </w:tr>
      <w:tr w14:paraId="2E12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Pr>
          <w:p w14:paraId="6F662F33">
            <w:pPr>
              <w:spacing w:line="400" w:lineRule="exact"/>
              <w:jc w:val="center"/>
            </w:pPr>
            <w:r>
              <w:rPr>
                <w:rFonts w:hint="eastAsia"/>
              </w:rPr>
              <w:t>吴晓璇</w:t>
            </w:r>
          </w:p>
        </w:tc>
        <w:tc>
          <w:tcPr>
            <w:tcW w:w="912" w:type="dxa"/>
          </w:tcPr>
          <w:p w14:paraId="7EA6BA90">
            <w:pPr>
              <w:spacing w:line="400" w:lineRule="exact"/>
              <w:jc w:val="center"/>
              <w:rPr>
                <w:rFonts w:ascii="仿宋" w:hAnsi="仿宋" w:eastAsia="仿宋" w:cs="Courier New"/>
                <w:sz w:val="24"/>
              </w:rPr>
            </w:pPr>
            <w:r>
              <w:rPr>
                <w:rFonts w:hint="eastAsia" w:ascii="仿宋" w:hAnsi="仿宋" w:eastAsia="仿宋" w:cs="Courier New"/>
                <w:sz w:val="24"/>
              </w:rPr>
              <w:t>女</w:t>
            </w:r>
          </w:p>
        </w:tc>
        <w:tc>
          <w:tcPr>
            <w:tcW w:w="1782" w:type="dxa"/>
          </w:tcPr>
          <w:p w14:paraId="2E31364D">
            <w:pPr>
              <w:spacing w:line="400" w:lineRule="exact"/>
              <w:jc w:val="center"/>
              <w:rPr>
                <w:rFonts w:ascii="仿宋" w:hAnsi="仿宋" w:eastAsia="仿宋" w:cs="Courier New"/>
                <w:sz w:val="24"/>
              </w:rPr>
            </w:pPr>
            <w:r>
              <w:rPr>
                <w:rFonts w:hint="eastAsia" w:ascii="仿宋" w:hAnsi="仿宋" w:eastAsia="仿宋" w:cs="Courier New"/>
                <w:sz w:val="24"/>
              </w:rPr>
              <w:t>助理研究员</w:t>
            </w:r>
          </w:p>
        </w:tc>
        <w:tc>
          <w:tcPr>
            <w:tcW w:w="2970" w:type="dxa"/>
          </w:tcPr>
          <w:p w14:paraId="581F6CFD">
            <w:pPr>
              <w:spacing w:line="400" w:lineRule="exact"/>
              <w:jc w:val="center"/>
              <w:rPr>
                <w:rFonts w:ascii="仿宋" w:hAnsi="仿宋" w:eastAsia="仿宋" w:cs="Courier New"/>
                <w:sz w:val="24"/>
              </w:rPr>
            </w:pPr>
            <w:r>
              <w:rPr>
                <w:rFonts w:hint="eastAsia" w:ascii="仿宋" w:hAnsi="仿宋" w:eastAsia="仿宋" w:cs="Courier New"/>
                <w:sz w:val="24"/>
              </w:rPr>
              <w:t>山西农业大学果树研究所</w:t>
            </w:r>
          </w:p>
        </w:tc>
        <w:tc>
          <w:tcPr>
            <w:tcW w:w="1575" w:type="dxa"/>
          </w:tcPr>
          <w:p w14:paraId="17F658D2">
            <w:pPr>
              <w:spacing w:line="400" w:lineRule="exact"/>
              <w:jc w:val="center"/>
              <w:rPr>
                <w:rFonts w:ascii="仿宋" w:hAnsi="仿宋" w:eastAsia="仿宋" w:cs="Courier New"/>
                <w:sz w:val="24"/>
              </w:rPr>
            </w:pPr>
            <w:r>
              <w:rPr>
                <w:rFonts w:hint="eastAsia" w:ascii="仿宋" w:hAnsi="仿宋" w:eastAsia="仿宋" w:cs="Courier New"/>
                <w:sz w:val="24"/>
              </w:rPr>
              <w:t>标准修订</w:t>
            </w:r>
          </w:p>
        </w:tc>
      </w:tr>
      <w:tr w14:paraId="781D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Pr>
          <w:p w14:paraId="0A9B770F">
            <w:pPr>
              <w:spacing w:line="400" w:lineRule="exact"/>
              <w:jc w:val="center"/>
            </w:pPr>
            <w:r>
              <w:rPr>
                <w:rFonts w:hint="eastAsia"/>
              </w:rPr>
              <w:t>窦彦鑫</w:t>
            </w:r>
          </w:p>
        </w:tc>
        <w:tc>
          <w:tcPr>
            <w:tcW w:w="912" w:type="dxa"/>
          </w:tcPr>
          <w:p w14:paraId="35F33D89">
            <w:pPr>
              <w:spacing w:line="400" w:lineRule="exact"/>
              <w:jc w:val="center"/>
              <w:rPr>
                <w:rFonts w:ascii="仿宋" w:hAnsi="仿宋" w:eastAsia="仿宋" w:cs="Courier New"/>
                <w:sz w:val="24"/>
              </w:rPr>
            </w:pPr>
            <w:r>
              <w:rPr>
                <w:rFonts w:hint="eastAsia" w:ascii="仿宋" w:hAnsi="仿宋" w:eastAsia="仿宋" w:cs="Courier New"/>
                <w:sz w:val="24"/>
              </w:rPr>
              <w:t>女</w:t>
            </w:r>
          </w:p>
        </w:tc>
        <w:tc>
          <w:tcPr>
            <w:tcW w:w="1782" w:type="dxa"/>
          </w:tcPr>
          <w:p w14:paraId="50B2D1F3">
            <w:pPr>
              <w:spacing w:line="400" w:lineRule="exact"/>
              <w:jc w:val="center"/>
              <w:rPr>
                <w:rFonts w:ascii="仿宋" w:hAnsi="仿宋" w:eastAsia="仿宋" w:cs="Courier New"/>
                <w:sz w:val="24"/>
              </w:rPr>
            </w:pPr>
            <w:r>
              <w:rPr>
                <w:rFonts w:hint="eastAsia" w:ascii="仿宋" w:hAnsi="仿宋" w:eastAsia="仿宋" w:cs="Courier New"/>
                <w:sz w:val="24"/>
              </w:rPr>
              <w:t>助理研究员</w:t>
            </w:r>
          </w:p>
        </w:tc>
        <w:tc>
          <w:tcPr>
            <w:tcW w:w="2970" w:type="dxa"/>
          </w:tcPr>
          <w:p w14:paraId="56EBAF65">
            <w:pPr>
              <w:spacing w:line="400" w:lineRule="exact"/>
              <w:jc w:val="center"/>
              <w:rPr>
                <w:rFonts w:ascii="仿宋" w:hAnsi="仿宋" w:eastAsia="仿宋" w:cs="Courier New"/>
                <w:sz w:val="24"/>
              </w:rPr>
            </w:pPr>
            <w:r>
              <w:rPr>
                <w:rFonts w:hint="eastAsia" w:ascii="仿宋" w:hAnsi="仿宋" w:eastAsia="仿宋" w:cs="Courier New"/>
                <w:sz w:val="24"/>
              </w:rPr>
              <w:t>山西农业大学果树研究所</w:t>
            </w:r>
          </w:p>
        </w:tc>
        <w:tc>
          <w:tcPr>
            <w:tcW w:w="1575" w:type="dxa"/>
          </w:tcPr>
          <w:p w14:paraId="7795CBF8">
            <w:pPr>
              <w:spacing w:line="400" w:lineRule="exact"/>
              <w:jc w:val="center"/>
              <w:rPr>
                <w:rFonts w:ascii="仿宋" w:hAnsi="仿宋" w:eastAsia="仿宋" w:cs="Courier New"/>
                <w:sz w:val="24"/>
              </w:rPr>
            </w:pPr>
            <w:r>
              <w:rPr>
                <w:rFonts w:hint="eastAsia" w:ascii="仿宋" w:hAnsi="仿宋" w:eastAsia="仿宋" w:cs="Courier New"/>
                <w:sz w:val="24"/>
              </w:rPr>
              <w:t>标准修订</w:t>
            </w:r>
          </w:p>
        </w:tc>
      </w:tr>
      <w:tr w14:paraId="3CA3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Pr>
          <w:p w14:paraId="2E957D7D">
            <w:pPr>
              <w:spacing w:line="400" w:lineRule="exact"/>
              <w:jc w:val="center"/>
            </w:pPr>
            <w:r>
              <w:rPr>
                <w:rFonts w:hint="eastAsia"/>
              </w:rPr>
              <w:t>孙俊宝</w:t>
            </w:r>
          </w:p>
        </w:tc>
        <w:tc>
          <w:tcPr>
            <w:tcW w:w="912" w:type="dxa"/>
          </w:tcPr>
          <w:p w14:paraId="0844C8B1">
            <w:pPr>
              <w:spacing w:line="400" w:lineRule="exact"/>
              <w:jc w:val="center"/>
              <w:rPr>
                <w:rFonts w:ascii="仿宋" w:hAnsi="仿宋" w:eastAsia="仿宋" w:cs="Courier New"/>
                <w:sz w:val="24"/>
              </w:rPr>
            </w:pPr>
            <w:r>
              <w:rPr>
                <w:rFonts w:hint="eastAsia" w:ascii="仿宋" w:hAnsi="仿宋" w:eastAsia="仿宋" w:cs="Courier New"/>
                <w:sz w:val="24"/>
              </w:rPr>
              <w:t>男</w:t>
            </w:r>
          </w:p>
        </w:tc>
        <w:tc>
          <w:tcPr>
            <w:tcW w:w="1782" w:type="dxa"/>
          </w:tcPr>
          <w:p w14:paraId="3F5D6976">
            <w:pPr>
              <w:spacing w:line="400" w:lineRule="exact"/>
              <w:jc w:val="center"/>
              <w:rPr>
                <w:rFonts w:ascii="仿宋" w:hAnsi="仿宋" w:eastAsia="仿宋" w:cs="Courier New"/>
                <w:sz w:val="24"/>
              </w:rPr>
            </w:pPr>
            <w:r>
              <w:rPr>
                <w:rFonts w:hint="eastAsia" w:ascii="仿宋" w:hAnsi="仿宋" w:eastAsia="仿宋" w:cs="Courier New"/>
                <w:sz w:val="24"/>
              </w:rPr>
              <w:t>副研究员</w:t>
            </w:r>
          </w:p>
        </w:tc>
        <w:tc>
          <w:tcPr>
            <w:tcW w:w="2970" w:type="dxa"/>
          </w:tcPr>
          <w:p w14:paraId="183C2199">
            <w:pPr>
              <w:spacing w:line="400" w:lineRule="exact"/>
              <w:jc w:val="center"/>
              <w:rPr>
                <w:rFonts w:ascii="仿宋" w:hAnsi="仿宋" w:eastAsia="仿宋" w:cs="Courier New"/>
                <w:sz w:val="24"/>
              </w:rPr>
            </w:pPr>
            <w:r>
              <w:rPr>
                <w:rFonts w:hint="eastAsia" w:ascii="仿宋" w:hAnsi="仿宋" w:eastAsia="仿宋" w:cs="Courier New"/>
                <w:sz w:val="24"/>
              </w:rPr>
              <w:t>山西农业大学果树研究所</w:t>
            </w:r>
          </w:p>
        </w:tc>
        <w:tc>
          <w:tcPr>
            <w:tcW w:w="1575" w:type="dxa"/>
          </w:tcPr>
          <w:p w14:paraId="74DA0B5C">
            <w:pPr>
              <w:spacing w:line="400" w:lineRule="exact"/>
              <w:jc w:val="center"/>
              <w:rPr>
                <w:rFonts w:ascii="仿宋" w:hAnsi="仿宋" w:eastAsia="仿宋" w:cs="Courier New"/>
                <w:sz w:val="24"/>
              </w:rPr>
            </w:pPr>
            <w:r>
              <w:rPr>
                <w:rFonts w:hint="eastAsia" w:ascii="仿宋" w:hAnsi="仿宋" w:eastAsia="仿宋" w:cs="Courier New"/>
                <w:sz w:val="24"/>
              </w:rPr>
              <w:t>标准修订</w:t>
            </w:r>
          </w:p>
        </w:tc>
      </w:tr>
      <w:tr w14:paraId="4A001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tcPr>
          <w:p w14:paraId="69CF790E">
            <w:pPr>
              <w:spacing w:line="400" w:lineRule="exact"/>
              <w:jc w:val="center"/>
            </w:pPr>
            <w:r>
              <w:rPr>
                <w:rFonts w:hint="eastAsia"/>
              </w:rPr>
              <w:t>王红宁</w:t>
            </w:r>
          </w:p>
        </w:tc>
        <w:tc>
          <w:tcPr>
            <w:tcW w:w="912" w:type="dxa"/>
          </w:tcPr>
          <w:p w14:paraId="05950302">
            <w:pPr>
              <w:spacing w:line="400" w:lineRule="exact"/>
              <w:jc w:val="center"/>
              <w:rPr>
                <w:rFonts w:ascii="仿宋" w:hAnsi="仿宋" w:eastAsia="仿宋" w:cs="Courier New"/>
                <w:sz w:val="24"/>
              </w:rPr>
            </w:pPr>
            <w:r>
              <w:rPr>
                <w:rFonts w:hint="eastAsia" w:ascii="仿宋" w:hAnsi="仿宋" w:eastAsia="仿宋" w:cs="Courier New"/>
                <w:sz w:val="24"/>
              </w:rPr>
              <w:t>女</w:t>
            </w:r>
          </w:p>
        </w:tc>
        <w:tc>
          <w:tcPr>
            <w:tcW w:w="1782" w:type="dxa"/>
          </w:tcPr>
          <w:p w14:paraId="0B1E9562">
            <w:pPr>
              <w:spacing w:line="400" w:lineRule="exact"/>
              <w:jc w:val="center"/>
              <w:rPr>
                <w:rFonts w:ascii="仿宋" w:hAnsi="仿宋" w:eastAsia="仿宋" w:cs="Courier New"/>
                <w:sz w:val="24"/>
              </w:rPr>
            </w:pPr>
            <w:r>
              <w:rPr>
                <w:rFonts w:hint="eastAsia" w:ascii="仿宋" w:hAnsi="仿宋" w:eastAsia="仿宋" w:cs="Courier New"/>
                <w:sz w:val="24"/>
              </w:rPr>
              <w:t>副研究员</w:t>
            </w:r>
          </w:p>
        </w:tc>
        <w:tc>
          <w:tcPr>
            <w:tcW w:w="2970" w:type="dxa"/>
          </w:tcPr>
          <w:p w14:paraId="206AD58A">
            <w:pPr>
              <w:spacing w:line="400" w:lineRule="exact"/>
              <w:jc w:val="center"/>
              <w:rPr>
                <w:rFonts w:ascii="仿宋" w:hAnsi="仿宋" w:eastAsia="仿宋" w:cs="Courier New"/>
                <w:sz w:val="24"/>
              </w:rPr>
            </w:pPr>
            <w:r>
              <w:rPr>
                <w:rFonts w:hint="eastAsia" w:ascii="仿宋" w:hAnsi="仿宋" w:eastAsia="仿宋" w:cs="Courier New"/>
                <w:sz w:val="24"/>
              </w:rPr>
              <w:t>山西农业大学果树研究所</w:t>
            </w:r>
          </w:p>
        </w:tc>
        <w:tc>
          <w:tcPr>
            <w:tcW w:w="1575" w:type="dxa"/>
          </w:tcPr>
          <w:p w14:paraId="2B409FE8">
            <w:pPr>
              <w:spacing w:line="400" w:lineRule="exact"/>
              <w:jc w:val="center"/>
              <w:rPr>
                <w:rFonts w:ascii="仿宋" w:hAnsi="仿宋" w:eastAsia="仿宋" w:cs="Courier New"/>
                <w:sz w:val="24"/>
              </w:rPr>
            </w:pPr>
            <w:r>
              <w:rPr>
                <w:rFonts w:hint="eastAsia" w:ascii="仿宋" w:hAnsi="仿宋" w:eastAsia="仿宋" w:cs="Courier New"/>
                <w:sz w:val="24"/>
              </w:rPr>
              <w:t>标准修订</w:t>
            </w:r>
          </w:p>
        </w:tc>
      </w:tr>
    </w:tbl>
    <w:p w14:paraId="10BD9F8C">
      <w:pPr>
        <w:spacing w:line="600" w:lineRule="exact"/>
        <w:ind w:right="17" w:firstLine="643" w:firstLineChars="200"/>
        <w:rPr>
          <w:rFonts w:ascii="宋体" w:hAnsi="宋体" w:cs="宋体"/>
          <w:b/>
          <w:sz w:val="32"/>
          <w:szCs w:val="32"/>
        </w:rPr>
      </w:pPr>
      <w:r>
        <w:rPr>
          <w:rFonts w:hint="eastAsia" w:ascii="宋体" w:hAnsi="宋体" w:cs="宋体"/>
          <w:b/>
          <w:sz w:val="32"/>
          <w:szCs w:val="32"/>
        </w:rPr>
        <w:t>二、修订标准的必要性和意义</w:t>
      </w:r>
    </w:p>
    <w:p w14:paraId="01831DEB">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地方标准的修订必要性主要体现在以下几个方面：</w:t>
      </w:r>
    </w:p>
    <w:p w14:paraId="5F18887F">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一是行业发展的需要。随着大樱桃栽培面积的不断扩大，栽培技术的不断发展。大樱桃在品种引进、水肥管理、整形修剪、病虫害防治等技术方面也在不断创新。本标准从制定到现在已经过去10年，有部分技术细节已经不适合当下的生产要求。根据现有的生产条件对已有的标准进行修订是十分必要的。</w:t>
      </w:r>
    </w:p>
    <w:p w14:paraId="7D08F19D">
      <w:pPr>
        <w:spacing w:line="360" w:lineRule="auto"/>
        <w:ind w:firstLine="720" w:firstLineChars="300"/>
        <w:jc w:val="left"/>
        <w:outlineLvl w:val="1"/>
        <w:rPr>
          <w:rFonts w:ascii="仿宋_GB2312" w:hAnsi="宋体" w:eastAsia="仿宋_GB2312"/>
          <w:sz w:val="24"/>
        </w:rPr>
      </w:pPr>
      <w:r>
        <w:rPr>
          <w:rFonts w:hint="eastAsia" w:ascii="仿宋_GB2312" w:hAnsi="宋体" w:eastAsia="仿宋_GB2312"/>
          <w:sz w:val="24"/>
        </w:rPr>
        <w:t>二是适应市场的需求。由于经济的不断发展和市场的不断扩大，樱桃的生产销售仍有相当的潜力。消费者对产品质量和安全的要求也越来越高，地方标准需要与时俱进，不断修订和</w:t>
      </w:r>
      <w:r>
        <w:rPr>
          <w:rFonts w:hint="eastAsia" w:ascii="仿宋_GB2312" w:hAnsi="宋体" w:eastAsia="仿宋_GB2312"/>
          <w:sz w:val="24"/>
          <w:lang w:val="en-US" w:eastAsia="zh-CN"/>
        </w:rPr>
        <w:t xml:space="preserve"> </w:t>
      </w:r>
      <w:r>
        <w:rPr>
          <w:rFonts w:hint="eastAsia" w:ascii="仿宋_GB2312" w:hAnsi="宋体" w:eastAsia="仿宋_GB2312"/>
          <w:sz w:val="24"/>
        </w:rPr>
        <w:t>完善，才能适应市场的需求。</w:t>
      </w:r>
    </w:p>
    <w:p w14:paraId="1EC51B10">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三是推动产业升级和优化。地方标准的修订不仅可以促进提升产品质量和技术含量，还可以引导规模化种植的企业向高端制造和绿色发展方向转变。</w:t>
      </w:r>
    </w:p>
    <w:p w14:paraId="7D5836E2">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四是保障民生和环境安全。地方标准的修订可以更好地保障人民群众的身体健康和生存环境的安全，对于保障民生和环境安全具有积极的意义。</w:t>
      </w:r>
    </w:p>
    <w:p w14:paraId="1EC196A1">
      <w:pPr>
        <w:spacing w:line="600" w:lineRule="exact"/>
        <w:ind w:right="17" w:firstLine="643" w:firstLineChars="200"/>
        <w:rPr>
          <w:rFonts w:ascii="宋体" w:hAnsi="宋体" w:cs="宋体"/>
          <w:b/>
          <w:sz w:val="32"/>
          <w:szCs w:val="32"/>
        </w:rPr>
      </w:pPr>
      <w:r>
        <w:rPr>
          <w:rFonts w:hint="eastAsia" w:ascii="宋体" w:hAnsi="宋体" w:cs="宋体"/>
          <w:b/>
          <w:sz w:val="32"/>
          <w:szCs w:val="32"/>
        </w:rPr>
        <w:t>三、主要修订工作过程</w:t>
      </w:r>
    </w:p>
    <w:p w14:paraId="4DE44B26">
      <w:pPr>
        <w:spacing w:line="400" w:lineRule="exact"/>
        <w:ind w:firstLine="480" w:firstLineChars="200"/>
        <w:jc w:val="left"/>
        <w:rPr>
          <w:rFonts w:hint="eastAsia" w:eastAsia="仿宋_GB2312"/>
          <w:bCs/>
          <w:sz w:val="24"/>
        </w:rPr>
      </w:pPr>
      <w:r>
        <w:rPr>
          <w:rFonts w:hint="eastAsia" w:eastAsia="仿宋_GB2312"/>
          <w:bCs/>
          <w:sz w:val="24"/>
        </w:rPr>
        <w:t>召开标准修订会议，成立工作组，开展调研工作。工作组成员广泛查阅和收集国内外相关标准和关于综合防治的文献资料。学习</w:t>
      </w:r>
      <w:r>
        <w:rPr>
          <w:rFonts w:hint="eastAsia" w:eastAsia="仿宋_GB2312"/>
          <w:bCs/>
          <w:sz w:val="24"/>
          <w:lang w:val="en-US" w:eastAsia="zh-CN"/>
        </w:rPr>
        <w:t>大樱桃种植管理各方面相关知识，研究相关标准的</w:t>
      </w:r>
      <w:r>
        <w:rPr>
          <w:rFonts w:hint="eastAsia" w:eastAsia="仿宋_GB2312"/>
          <w:bCs/>
          <w:sz w:val="24"/>
        </w:rPr>
        <w:t>内容，广泛收集资料征求专家意见，通过讨论，采纳</w:t>
      </w:r>
      <w:r>
        <w:rPr>
          <w:rFonts w:hint="eastAsia" w:eastAsia="仿宋_GB2312"/>
          <w:bCs/>
          <w:sz w:val="24"/>
          <w:lang w:val="en-US" w:eastAsia="zh-CN"/>
        </w:rPr>
        <w:t>了标准名称修改，删除、合并内容，调整顺序，更改语言表述等方面的</w:t>
      </w:r>
      <w:r>
        <w:rPr>
          <w:rFonts w:hint="eastAsia" w:eastAsia="仿宋_GB2312"/>
          <w:bCs/>
          <w:sz w:val="24"/>
        </w:rPr>
        <w:t>意见，修订文本参加技术评审。报省市场监督管理局挂网向社会公开征求意见1个月，进一步修改完善后形成标准送审稿。标委会表决后，形成报批稿、提交报批材料.</w:t>
      </w:r>
    </w:p>
    <w:p w14:paraId="6E2615CA">
      <w:pPr>
        <w:spacing w:line="400" w:lineRule="exact"/>
        <w:ind w:firstLine="480" w:firstLineChars="200"/>
        <w:jc w:val="left"/>
        <w:rPr>
          <w:rFonts w:hint="eastAsia" w:eastAsia="仿宋_GB2312"/>
          <w:bCs/>
          <w:sz w:val="24"/>
        </w:rPr>
      </w:pPr>
      <w:r>
        <w:rPr>
          <w:rFonts w:hint="eastAsia" w:eastAsia="仿宋_GB2312"/>
          <w:bCs/>
          <w:sz w:val="24"/>
          <w:lang w:val="en-US" w:eastAsia="zh-CN"/>
        </w:rPr>
        <w:t xml:space="preserve">                                                                                                                                                                                                                                                                                                                                                                                                                                                                                  </w:t>
      </w:r>
    </w:p>
    <w:p w14:paraId="49694776">
      <w:pPr>
        <w:spacing w:line="600" w:lineRule="exact"/>
        <w:ind w:right="17" w:firstLine="643" w:firstLineChars="200"/>
        <w:rPr>
          <w:rFonts w:ascii="宋体" w:hAnsi="宋体" w:cs="宋体"/>
          <w:b/>
          <w:sz w:val="32"/>
          <w:szCs w:val="32"/>
        </w:rPr>
      </w:pPr>
      <w:r>
        <w:rPr>
          <w:rFonts w:hint="eastAsia" w:ascii="宋体" w:hAnsi="宋体" w:cs="宋体"/>
          <w:b/>
          <w:sz w:val="32"/>
          <w:szCs w:val="32"/>
        </w:rPr>
        <w:t>四、制修订标准的原则和依据，与现行法律、法规、标准的关系</w:t>
      </w:r>
    </w:p>
    <w:p w14:paraId="22F1C8F4">
      <w:pPr>
        <w:spacing w:line="400" w:lineRule="exact"/>
        <w:ind w:firstLine="480" w:firstLineChars="200"/>
        <w:rPr>
          <w:rFonts w:eastAsia="仿宋_GB2312"/>
          <w:bCs/>
          <w:sz w:val="24"/>
        </w:rPr>
      </w:pPr>
      <w:r>
        <w:rPr>
          <w:rFonts w:hint="eastAsia" w:eastAsia="仿宋_GB2312"/>
          <w:bCs/>
          <w:sz w:val="24"/>
        </w:rPr>
        <w:t>根据近年来的大樱桃品种的栽培表现，在当地的生长情况，以及生产中新技术的应用情况对现有的标准进行修订。保证实施过程中的安全性与适应性的同时，也考虑了生产成本，且与现行法律、法规及标准协调一致、没有冲突。</w:t>
      </w:r>
    </w:p>
    <w:p w14:paraId="07B118C7">
      <w:pPr>
        <w:spacing w:line="600" w:lineRule="exact"/>
        <w:ind w:right="17" w:firstLine="643" w:firstLineChars="200"/>
        <w:rPr>
          <w:rFonts w:ascii="宋体" w:hAnsi="宋体" w:cs="宋体"/>
          <w:b/>
          <w:sz w:val="32"/>
          <w:szCs w:val="32"/>
        </w:rPr>
      </w:pPr>
      <w:r>
        <w:rPr>
          <w:rFonts w:hint="eastAsia" w:ascii="宋体" w:hAnsi="宋体" w:cs="宋体"/>
          <w:b/>
          <w:sz w:val="32"/>
          <w:szCs w:val="32"/>
        </w:rPr>
        <w:t>五、主要条款的说明。</w:t>
      </w:r>
    </w:p>
    <w:p w14:paraId="5C2E1AF3">
      <w:pPr>
        <w:spacing w:line="400" w:lineRule="exact"/>
        <w:ind w:firstLine="480" w:firstLineChars="200"/>
        <w:rPr>
          <w:rFonts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标准起草组以“合法性、安全性、适应性、协调性和先进性”为修订原则，以文本结构更加合理、表述更加准确、技术指标更加科学为修订目标，从2个方面对文本进行了修订，其中：</w:t>
      </w:r>
    </w:p>
    <w:p w14:paraId="32875ADF">
      <w:pPr>
        <w:numPr>
          <w:ilvl w:val="0"/>
          <w:numId w:val="3"/>
        </w:numPr>
        <w:spacing w:line="400" w:lineRule="exact"/>
        <w:ind w:firstLine="480" w:firstLineChars="200"/>
        <w:rPr>
          <w:rFonts w:hint="eastAsia" w:eastAsia="仿宋_GB2312"/>
          <w:bCs/>
          <w:sz w:val="24"/>
        </w:rPr>
      </w:pPr>
      <w:r>
        <w:rPr>
          <w:rFonts w:hint="eastAsia" w:eastAsia="仿宋_GB2312"/>
          <w:bCs/>
          <w:sz w:val="24"/>
        </w:rPr>
        <w:t>涉及结构性调整的主要有</w:t>
      </w:r>
      <w:r>
        <w:rPr>
          <w:rFonts w:hint="eastAsia" w:eastAsia="仿宋_GB2312"/>
          <w:bCs/>
          <w:sz w:val="24"/>
          <w:lang w:val="en-US" w:eastAsia="zh-CN"/>
        </w:rPr>
        <w:t>6</w:t>
      </w:r>
      <w:r>
        <w:rPr>
          <w:rFonts w:hint="eastAsia" w:eastAsia="仿宋_GB2312"/>
          <w:bCs/>
          <w:sz w:val="24"/>
        </w:rPr>
        <w:t>项：</w:t>
      </w:r>
      <w:r>
        <w:rPr>
          <w:rFonts w:hint="eastAsia" w:eastAsia="仿宋_GB2312"/>
          <w:bCs/>
          <w:sz w:val="24"/>
          <w:lang w:val="en-US" w:eastAsia="zh-CN"/>
        </w:rPr>
        <w:t xml:space="preserve">                                                        </w:t>
      </w:r>
    </w:p>
    <w:p w14:paraId="403D94AE">
      <w:pPr>
        <w:spacing w:line="400" w:lineRule="exact"/>
        <w:ind w:firstLine="480" w:firstLineChars="200"/>
        <w:rPr>
          <w:rFonts w:eastAsia="仿宋_GB2312"/>
          <w:bCs/>
          <w:sz w:val="24"/>
        </w:rPr>
      </w:pPr>
      <w:r>
        <w:rPr>
          <w:rFonts w:hint="eastAsia" w:eastAsia="仿宋_GB2312"/>
          <w:bCs/>
          <w:sz w:val="24"/>
        </w:rPr>
        <w:t>（1）</w:t>
      </w:r>
      <w:r>
        <w:rPr>
          <w:rFonts w:hint="eastAsia" w:eastAsia="仿宋_GB2312"/>
          <w:bCs/>
          <w:sz w:val="24"/>
          <w:lang w:val="en-US" w:eastAsia="zh-CN"/>
        </w:rPr>
        <w:t>删除了苗木培育相关内容。</w:t>
      </w:r>
      <w:r>
        <w:rPr>
          <w:rFonts w:hint="eastAsia" w:eastAsia="仿宋_GB2312"/>
          <w:bCs/>
          <w:sz w:val="24"/>
        </w:rPr>
        <w:t>修订原因：</w:t>
      </w:r>
      <w:r>
        <w:rPr>
          <w:rFonts w:hint="eastAsia" w:eastAsia="仿宋_GB2312"/>
          <w:bCs/>
          <w:sz w:val="24"/>
          <w:lang w:val="en-US" w:eastAsia="zh-CN"/>
        </w:rPr>
        <w:t>已有相关标准</w:t>
      </w:r>
      <w:r>
        <w:rPr>
          <w:rFonts w:hint="eastAsia" w:eastAsia="仿宋_GB2312"/>
          <w:bCs/>
          <w:sz w:val="24"/>
        </w:rPr>
        <w:t>。</w:t>
      </w:r>
    </w:p>
    <w:p w14:paraId="1351AE0E">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（2）4.3和4.4合并为“4.3 品种选择与授粉树的配置”</w:t>
      </w:r>
    </w:p>
    <w:p w14:paraId="7473F6F6">
      <w:pPr>
        <w:spacing w:line="400" w:lineRule="exact"/>
        <w:ind w:firstLine="480" w:firstLineChars="200"/>
        <w:rPr>
          <w:rFonts w:eastAsia="仿宋_GB2312"/>
          <w:bCs/>
          <w:sz w:val="24"/>
        </w:rPr>
      </w:pPr>
      <w:r>
        <w:rPr>
          <w:rFonts w:hint="eastAsia" w:eastAsia="仿宋_GB2312"/>
          <w:bCs/>
          <w:sz w:val="24"/>
        </w:rPr>
        <w:t>（</w:t>
      </w:r>
      <w:r>
        <w:rPr>
          <w:rFonts w:hint="eastAsia" w:eastAsia="仿宋_GB2312"/>
          <w:bCs/>
          <w:sz w:val="24"/>
          <w:lang w:val="en-US" w:eastAsia="zh-CN"/>
        </w:rPr>
        <w:t>3</w:t>
      </w:r>
      <w:r>
        <w:rPr>
          <w:rFonts w:hint="eastAsia" w:eastAsia="仿宋_GB2312"/>
          <w:bCs/>
          <w:sz w:val="24"/>
        </w:rPr>
        <w:t>）增加了</w:t>
      </w:r>
      <w:r>
        <w:rPr>
          <w:rFonts w:hint="eastAsia" w:eastAsia="仿宋_GB2312"/>
          <w:bCs/>
          <w:sz w:val="24"/>
          <w:lang w:val="en-US" w:eastAsia="zh-CN"/>
        </w:rPr>
        <w:t>5</w:t>
      </w:r>
      <w:r>
        <w:rPr>
          <w:rFonts w:hint="eastAsia" w:eastAsia="仿宋_GB2312"/>
          <w:bCs/>
          <w:sz w:val="24"/>
        </w:rPr>
        <w:t>.1.3KGB树形。修订原因：近年来新出现的树形。</w:t>
      </w:r>
    </w:p>
    <w:p w14:paraId="79B89E8D">
      <w:pPr>
        <w:spacing w:line="400" w:lineRule="exact"/>
        <w:ind w:firstLine="480" w:firstLineChars="200"/>
        <w:rPr>
          <w:rFonts w:eastAsia="仿宋_GB2312"/>
          <w:bCs/>
          <w:sz w:val="24"/>
        </w:rPr>
      </w:pPr>
      <w:r>
        <w:rPr>
          <w:rFonts w:hint="eastAsia" w:eastAsia="仿宋_GB2312"/>
          <w:bCs/>
          <w:sz w:val="24"/>
        </w:rPr>
        <w:t>（</w:t>
      </w:r>
      <w:r>
        <w:rPr>
          <w:rFonts w:hint="eastAsia" w:eastAsia="仿宋_GB2312"/>
          <w:bCs/>
          <w:sz w:val="24"/>
          <w:lang w:val="en-US" w:eastAsia="zh-CN"/>
        </w:rPr>
        <w:t>4</w:t>
      </w:r>
      <w:r>
        <w:rPr>
          <w:rFonts w:hint="eastAsia" w:eastAsia="仿宋_GB2312"/>
          <w:bCs/>
          <w:sz w:val="24"/>
        </w:rPr>
        <w:t>）增加了5.3主栽品种俄罗斯八号、布鲁克斯、修订原因：近年来表现较好的品种。</w:t>
      </w:r>
    </w:p>
    <w:p w14:paraId="33D6A3AB">
      <w:pPr>
        <w:spacing w:line="400" w:lineRule="exact"/>
        <w:ind w:firstLine="480" w:firstLineChars="200"/>
        <w:rPr>
          <w:rFonts w:eastAsia="仿宋_GB2312"/>
          <w:bCs/>
          <w:sz w:val="24"/>
        </w:rPr>
      </w:pPr>
      <w:r>
        <w:rPr>
          <w:rFonts w:hint="eastAsia" w:eastAsia="仿宋_GB2312"/>
          <w:bCs/>
          <w:sz w:val="24"/>
        </w:rPr>
        <w:t>（</w:t>
      </w:r>
      <w:r>
        <w:rPr>
          <w:rFonts w:hint="eastAsia" w:eastAsia="仿宋_GB2312"/>
          <w:bCs/>
          <w:sz w:val="24"/>
          <w:lang w:val="en-US" w:eastAsia="zh-CN"/>
        </w:rPr>
        <w:t>5</w:t>
      </w:r>
      <w:r>
        <w:rPr>
          <w:rFonts w:hint="eastAsia" w:eastAsia="仿宋_GB2312"/>
          <w:bCs/>
          <w:sz w:val="24"/>
        </w:rPr>
        <w:t>）删除了</w:t>
      </w:r>
      <w:r>
        <w:rPr>
          <w:rFonts w:hint="eastAsia" w:eastAsia="仿宋_GB2312"/>
          <w:bCs/>
          <w:sz w:val="24"/>
          <w:lang w:val="en-US" w:eastAsia="zh-CN"/>
        </w:rPr>
        <w:t>6</w:t>
      </w:r>
      <w:r>
        <w:rPr>
          <w:rFonts w:hint="eastAsia" w:eastAsia="仿宋_GB2312"/>
          <w:bCs/>
          <w:sz w:val="24"/>
        </w:rPr>
        <w:t>,3疏花和疏果。修订原因：大樱桃花量大，挂果量大，如果进行疏花疏果，工作量太大，得不偿失。</w:t>
      </w:r>
    </w:p>
    <w:p w14:paraId="3A549213">
      <w:pPr>
        <w:spacing w:line="400" w:lineRule="exact"/>
        <w:ind w:firstLine="480" w:firstLineChars="200"/>
        <w:rPr>
          <w:rFonts w:hint="eastAsia" w:eastAsia="仿宋_GB2312"/>
          <w:bCs/>
          <w:sz w:val="24"/>
        </w:rPr>
      </w:pPr>
      <w:r>
        <w:rPr>
          <w:rFonts w:hint="eastAsia" w:eastAsia="仿宋_GB2312"/>
          <w:bCs/>
          <w:sz w:val="24"/>
        </w:rPr>
        <w:t>（</w:t>
      </w:r>
      <w:r>
        <w:rPr>
          <w:rFonts w:hint="eastAsia" w:eastAsia="仿宋_GB2312"/>
          <w:bCs/>
          <w:sz w:val="24"/>
          <w:lang w:val="en-US" w:eastAsia="zh-CN"/>
        </w:rPr>
        <w:t>6</w:t>
      </w:r>
      <w:r>
        <w:rPr>
          <w:rFonts w:hint="eastAsia" w:eastAsia="仿宋_GB2312"/>
          <w:bCs/>
          <w:sz w:val="24"/>
        </w:rPr>
        <w:t>）增加了</w:t>
      </w:r>
      <w:r>
        <w:rPr>
          <w:rFonts w:hint="eastAsia" w:eastAsia="仿宋_GB2312"/>
          <w:bCs/>
          <w:sz w:val="24"/>
          <w:lang w:val="en-US" w:eastAsia="zh-CN"/>
        </w:rPr>
        <w:t>6.4</w:t>
      </w:r>
      <w:r>
        <w:rPr>
          <w:rFonts w:hint="eastAsia" w:eastAsia="仿宋_GB2312"/>
          <w:bCs/>
          <w:sz w:val="24"/>
        </w:rPr>
        <w:t>超声波驱鸟器、驱鸟剂。修订原因：近年来有技术更新。</w:t>
      </w:r>
    </w:p>
    <w:p w14:paraId="6B73CC5B">
      <w:pPr>
        <w:spacing w:line="400" w:lineRule="exact"/>
        <w:ind w:firstLine="480" w:firstLineChars="200"/>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7</w:t>
      </w:r>
      <w:r>
        <w:rPr>
          <w:rFonts w:hint="eastAsia" w:eastAsia="仿宋_GB2312"/>
          <w:bCs/>
          <w:sz w:val="24"/>
          <w:lang w:eastAsia="zh-CN"/>
        </w:rPr>
        <w:t>）</w:t>
      </w:r>
      <w:r>
        <w:rPr>
          <w:rFonts w:hint="eastAsia" w:eastAsia="仿宋_GB2312"/>
          <w:bCs/>
          <w:sz w:val="24"/>
          <w:lang w:val="en-US" w:eastAsia="zh-CN"/>
        </w:rPr>
        <w:t>增加了生产档案。</w:t>
      </w:r>
      <w:r>
        <w:rPr>
          <w:rFonts w:hint="eastAsia" w:eastAsia="仿宋_GB2312"/>
          <w:bCs/>
          <w:sz w:val="24"/>
        </w:rPr>
        <w:t>修订原因：</w:t>
      </w:r>
      <w:r>
        <w:rPr>
          <w:rFonts w:hint="eastAsia" w:eastAsia="仿宋_GB2312"/>
          <w:bCs/>
          <w:sz w:val="24"/>
          <w:lang w:val="en-US" w:eastAsia="zh-CN"/>
        </w:rPr>
        <w:t>内容完整</w:t>
      </w:r>
      <w:r>
        <w:rPr>
          <w:rFonts w:hint="eastAsia" w:eastAsia="仿宋_GB2312"/>
          <w:bCs/>
          <w:sz w:val="24"/>
        </w:rPr>
        <w:t>。</w:t>
      </w:r>
    </w:p>
    <w:p w14:paraId="1205D9EA">
      <w:pPr>
        <w:spacing w:line="400" w:lineRule="exact"/>
        <w:ind w:firstLine="480" w:firstLineChars="200"/>
        <w:rPr>
          <w:rFonts w:eastAsia="仿宋_GB2312"/>
          <w:bCs/>
          <w:sz w:val="24"/>
        </w:rPr>
      </w:pPr>
      <w:r>
        <w:rPr>
          <w:rFonts w:hint="eastAsia" w:eastAsia="仿宋_GB2312"/>
          <w:bCs/>
          <w:sz w:val="24"/>
        </w:rPr>
        <w:t>2、涉及表述与编辑性修改的主要有1</w:t>
      </w:r>
      <w:r>
        <w:rPr>
          <w:rFonts w:hint="eastAsia" w:eastAsia="仿宋_GB2312"/>
          <w:bCs/>
          <w:sz w:val="24"/>
          <w:lang w:val="en-US" w:eastAsia="zh-CN"/>
        </w:rPr>
        <w:t>0</w:t>
      </w:r>
      <w:r>
        <w:rPr>
          <w:rFonts w:hint="eastAsia" w:eastAsia="仿宋_GB2312"/>
          <w:bCs/>
          <w:sz w:val="24"/>
        </w:rPr>
        <w:t>项：</w:t>
      </w:r>
    </w:p>
    <w:p w14:paraId="44E6E059">
      <w:p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（1）标准题目改为“大樱桃栽培技术规程”。</w:t>
      </w:r>
    </w:p>
    <w:p w14:paraId="2F5B08D7">
      <w:pPr>
        <w:spacing w:line="400" w:lineRule="exact"/>
        <w:ind w:firstLine="480" w:firstLineChars="200"/>
        <w:rPr>
          <w:rFonts w:hint="eastAsia" w:eastAsia="仿宋_GB2312"/>
          <w:bCs/>
          <w:sz w:val="24"/>
        </w:rPr>
      </w:pPr>
      <w:r>
        <w:rPr>
          <w:rFonts w:hint="eastAsia" w:eastAsia="仿宋_GB2312"/>
          <w:bCs/>
          <w:sz w:val="24"/>
        </w:rPr>
        <w:t>（</w:t>
      </w:r>
      <w:r>
        <w:rPr>
          <w:rFonts w:hint="eastAsia" w:eastAsia="仿宋_GB2312"/>
          <w:bCs/>
          <w:sz w:val="24"/>
          <w:lang w:val="en-US" w:eastAsia="zh-CN"/>
        </w:rPr>
        <w:t>2</w:t>
      </w:r>
      <w:r>
        <w:rPr>
          <w:rFonts w:hint="eastAsia" w:eastAsia="仿宋_GB2312"/>
          <w:bCs/>
          <w:sz w:val="24"/>
        </w:rPr>
        <w:t>）更改了中国樱桃。改为中国大叶樱桃，</w:t>
      </w:r>
    </w:p>
    <w:p w14:paraId="770326F9">
      <w:pPr>
        <w:ind w:firstLine="480" w:firstLineChars="200"/>
        <w:rPr>
          <w:rFonts w:hint="eastAsia" w:eastAsia="仿宋_GB2312"/>
          <w:bCs/>
          <w:sz w:val="24"/>
          <w:lang w:eastAsia="zh-CN"/>
        </w:rPr>
      </w:pPr>
      <w:r>
        <w:rPr>
          <w:rFonts w:hint="eastAsia" w:eastAsia="仿宋_GB2312"/>
          <w:bCs/>
          <w:sz w:val="24"/>
          <w:lang w:eastAsia="zh-CN"/>
        </w:rPr>
        <w:t>（</w:t>
      </w:r>
      <w:r>
        <w:rPr>
          <w:rFonts w:hint="eastAsia" w:eastAsia="仿宋_GB2312"/>
          <w:bCs/>
          <w:sz w:val="24"/>
          <w:lang w:val="en-US" w:eastAsia="zh-CN"/>
        </w:rPr>
        <w:t>3</w:t>
      </w:r>
      <w:r>
        <w:rPr>
          <w:rFonts w:hint="eastAsia" w:eastAsia="仿宋_GB2312"/>
          <w:bCs/>
          <w:sz w:val="24"/>
          <w:lang w:eastAsia="zh-CN"/>
        </w:rPr>
        <w:t>）</w:t>
      </w:r>
      <w:r>
        <w:rPr>
          <w:rFonts w:hint="eastAsia"/>
          <w:lang w:val="en-US" w:eastAsia="zh-CN"/>
        </w:rPr>
        <w:t>更改“整形方式”为“整形”（见5.1）</w:t>
      </w:r>
    </w:p>
    <w:p w14:paraId="533F4ECD">
      <w:pPr>
        <w:spacing w:line="400" w:lineRule="exact"/>
        <w:ind w:firstLine="480" w:firstLineChars="200"/>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4</w:t>
      </w:r>
      <w:r>
        <w:rPr>
          <w:rFonts w:hint="eastAsia" w:eastAsia="仿宋_GB2312"/>
          <w:bCs/>
          <w:sz w:val="24"/>
          <w:lang w:eastAsia="zh-CN"/>
        </w:rPr>
        <w:t>）</w:t>
      </w:r>
      <w:r>
        <w:rPr>
          <w:rFonts w:hint="eastAsia" w:eastAsia="仿宋_GB2312"/>
          <w:bCs/>
          <w:sz w:val="24"/>
          <w:lang w:val="en-US" w:eastAsia="zh-CN"/>
        </w:rPr>
        <w:t>更改</w:t>
      </w:r>
      <w:r>
        <w:rPr>
          <w:rFonts w:hint="eastAsia" w:eastAsia="仿宋_GB2312"/>
          <w:bCs/>
          <w:sz w:val="24"/>
          <w:lang w:eastAsia="zh-CN"/>
        </w:rPr>
        <w:t>“</w:t>
      </w:r>
      <w:r>
        <w:rPr>
          <w:rFonts w:hint="eastAsia" w:eastAsia="仿宋_GB2312"/>
          <w:bCs/>
          <w:sz w:val="24"/>
          <w:lang w:val="en-US" w:eastAsia="zh-CN"/>
        </w:rPr>
        <w:t>霜冻危害</w:t>
      </w:r>
      <w:r>
        <w:rPr>
          <w:rFonts w:hint="eastAsia" w:eastAsia="仿宋_GB2312"/>
          <w:bCs/>
          <w:sz w:val="24"/>
          <w:lang w:eastAsia="zh-CN"/>
        </w:rPr>
        <w:t>”</w:t>
      </w:r>
      <w:r>
        <w:rPr>
          <w:rFonts w:hint="eastAsia" w:eastAsia="仿宋_GB2312"/>
          <w:bCs/>
          <w:sz w:val="24"/>
          <w:lang w:val="en-US" w:eastAsia="zh-CN"/>
        </w:rPr>
        <w:t>为“预防霜冻”（见6.1）</w:t>
      </w:r>
    </w:p>
    <w:p w14:paraId="6A665BA0">
      <w:pPr>
        <w:spacing w:line="400" w:lineRule="exact"/>
        <w:ind w:firstLine="480" w:firstLineChars="200"/>
        <w:rPr>
          <w:rFonts w:hint="eastAsia"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5</w:t>
      </w:r>
      <w:r>
        <w:rPr>
          <w:rFonts w:hint="eastAsia" w:eastAsia="仿宋_GB2312"/>
          <w:bCs/>
          <w:sz w:val="24"/>
          <w:lang w:eastAsia="zh-CN"/>
        </w:rPr>
        <w:t>）</w:t>
      </w:r>
      <w:r>
        <w:rPr>
          <w:rFonts w:hint="eastAsia" w:eastAsia="仿宋_GB2312"/>
          <w:bCs/>
          <w:sz w:val="24"/>
          <w:lang w:val="en-US" w:eastAsia="zh-CN"/>
        </w:rPr>
        <w:t>更改</w:t>
      </w:r>
      <w:r>
        <w:rPr>
          <w:rFonts w:hint="eastAsia" w:eastAsia="仿宋_GB2312"/>
          <w:bCs/>
          <w:sz w:val="24"/>
          <w:lang w:eastAsia="zh-CN"/>
        </w:rPr>
        <w:t>“</w:t>
      </w:r>
      <w:r>
        <w:rPr>
          <w:rFonts w:hint="eastAsia" w:eastAsia="仿宋_GB2312"/>
          <w:bCs/>
          <w:sz w:val="24"/>
          <w:lang w:val="en-US" w:eastAsia="zh-CN"/>
        </w:rPr>
        <w:t>防止和减轻裂果</w:t>
      </w:r>
      <w:r>
        <w:rPr>
          <w:rFonts w:hint="eastAsia" w:eastAsia="仿宋_GB2312"/>
          <w:bCs/>
          <w:sz w:val="24"/>
          <w:lang w:eastAsia="zh-CN"/>
        </w:rPr>
        <w:t>”</w:t>
      </w:r>
      <w:r>
        <w:rPr>
          <w:rFonts w:hint="eastAsia" w:eastAsia="仿宋_GB2312"/>
          <w:bCs/>
          <w:sz w:val="24"/>
          <w:lang w:val="en-US" w:eastAsia="zh-CN"/>
        </w:rPr>
        <w:t>为“预防裂果”（见6.3）</w:t>
      </w:r>
    </w:p>
    <w:p w14:paraId="44186DF5">
      <w:pPr>
        <w:spacing w:line="400" w:lineRule="exact"/>
        <w:ind w:firstLine="480" w:firstLineChars="200"/>
        <w:rPr>
          <w:rFonts w:hint="eastAsia"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6</w:t>
      </w:r>
      <w:r>
        <w:rPr>
          <w:rFonts w:hint="eastAsia" w:eastAsia="仿宋_GB2312"/>
          <w:bCs/>
          <w:sz w:val="24"/>
          <w:lang w:eastAsia="zh-CN"/>
        </w:rPr>
        <w:t>）</w:t>
      </w:r>
      <w:r>
        <w:rPr>
          <w:rFonts w:hint="eastAsia" w:eastAsia="仿宋_GB2312"/>
          <w:bCs/>
          <w:sz w:val="24"/>
          <w:lang w:val="en-US" w:eastAsia="zh-CN"/>
        </w:rPr>
        <w:t>更改</w:t>
      </w:r>
      <w:r>
        <w:rPr>
          <w:rFonts w:hint="eastAsia" w:eastAsia="仿宋_GB2312"/>
          <w:bCs/>
          <w:sz w:val="24"/>
          <w:lang w:eastAsia="zh-CN"/>
        </w:rPr>
        <w:t>“</w:t>
      </w:r>
      <w:r>
        <w:rPr>
          <w:rFonts w:hint="eastAsia" w:eastAsia="仿宋_GB2312"/>
          <w:bCs/>
          <w:sz w:val="24"/>
          <w:lang w:val="en-US" w:eastAsia="zh-CN"/>
        </w:rPr>
        <w:t>促进果实着色</w:t>
      </w:r>
      <w:r>
        <w:rPr>
          <w:rFonts w:hint="eastAsia" w:eastAsia="仿宋_GB2312"/>
          <w:bCs/>
          <w:sz w:val="24"/>
          <w:lang w:eastAsia="zh-CN"/>
        </w:rPr>
        <w:t>”</w:t>
      </w:r>
      <w:r>
        <w:rPr>
          <w:rFonts w:hint="eastAsia" w:eastAsia="仿宋_GB2312"/>
          <w:bCs/>
          <w:sz w:val="24"/>
          <w:lang w:val="en-US" w:eastAsia="zh-CN"/>
        </w:rPr>
        <w:t>为“促进着色”（见6.5）</w:t>
      </w:r>
    </w:p>
    <w:p w14:paraId="29A35586">
      <w:pPr>
        <w:spacing w:line="400" w:lineRule="exact"/>
        <w:ind w:firstLine="480" w:firstLineChars="200"/>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7</w:t>
      </w:r>
      <w:r>
        <w:rPr>
          <w:rFonts w:hint="eastAsia" w:eastAsia="仿宋_GB2312"/>
          <w:bCs/>
          <w:sz w:val="24"/>
          <w:lang w:eastAsia="zh-CN"/>
        </w:rPr>
        <w:t>）</w:t>
      </w:r>
      <w:r>
        <w:rPr>
          <w:rFonts w:hint="eastAsia" w:eastAsia="仿宋_GB2312"/>
          <w:bCs/>
          <w:sz w:val="24"/>
          <w:lang w:val="en-US" w:eastAsia="zh-CN"/>
        </w:rPr>
        <w:t>更改</w:t>
      </w:r>
      <w:r>
        <w:rPr>
          <w:rFonts w:hint="eastAsia" w:eastAsia="仿宋_GB2312"/>
          <w:bCs/>
          <w:sz w:val="24"/>
          <w:lang w:eastAsia="zh-CN"/>
        </w:rPr>
        <w:t>“</w:t>
      </w:r>
      <w:r>
        <w:rPr>
          <w:rFonts w:hint="eastAsia" w:eastAsia="仿宋_GB2312"/>
          <w:bCs/>
          <w:sz w:val="24"/>
          <w:lang w:val="en-US" w:eastAsia="zh-CN"/>
        </w:rPr>
        <w:t>合理施肥</w:t>
      </w:r>
      <w:r>
        <w:rPr>
          <w:rFonts w:hint="eastAsia" w:eastAsia="仿宋_GB2312"/>
          <w:bCs/>
          <w:sz w:val="24"/>
          <w:lang w:eastAsia="zh-CN"/>
        </w:rPr>
        <w:t>”</w:t>
      </w:r>
      <w:r>
        <w:rPr>
          <w:rFonts w:hint="eastAsia" w:eastAsia="仿宋_GB2312"/>
          <w:bCs/>
          <w:sz w:val="24"/>
          <w:lang w:val="en-US" w:eastAsia="zh-CN"/>
        </w:rPr>
        <w:t>为“施肥”（见7.2）</w:t>
      </w:r>
    </w:p>
    <w:p w14:paraId="4B65DF3E">
      <w:pPr>
        <w:spacing w:line="400" w:lineRule="exact"/>
        <w:ind w:firstLine="480" w:firstLineChars="200"/>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8</w:t>
      </w:r>
      <w:r>
        <w:rPr>
          <w:rFonts w:hint="eastAsia" w:eastAsia="仿宋_GB2312"/>
          <w:bCs/>
          <w:sz w:val="24"/>
          <w:lang w:eastAsia="zh-CN"/>
        </w:rPr>
        <w:t>）</w:t>
      </w:r>
      <w:r>
        <w:rPr>
          <w:rFonts w:hint="eastAsia" w:eastAsia="仿宋_GB2312"/>
          <w:bCs/>
          <w:sz w:val="24"/>
          <w:lang w:val="en-US" w:eastAsia="zh-CN"/>
        </w:rPr>
        <w:t>更改</w:t>
      </w:r>
      <w:r>
        <w:rPr>
          <w:rFonts w:hint="eastAsia" w:eastAsia="仿宋_GB2312"/>
          <w:bCs/>
          <w:sz w:val="24"/>
          <w:lang w:eastAsia="zh-CN"/>
        </w:rPr>
        <w:t>“</w:t>
      </w:r>
      <w:r>
        <w:rPr>
          <w:rFonts w:hint="eastAsia" w:eastAsia="仿宋_GB2312"/>
          <w:bCs/>
          <w:sz w:val="24"/>
          <w:lang w:val="en-US" w:eastAsia="zh-CN"/>
        </w:rPr>
        <w:t>秋季基肥</w:t>
      </w:r>
      <w:r>
        <w:rPr>
          <w:rFonts w:hint="eastAsia" w:eastAsia="仿宋_GB2312"/>
          <w:bCs/>
          <w:sz w:val="24"/>
          <w:lang w:eastAsia="zh-CN"/>
        </w:rPr>
        <w:t>”</w:t>
      </w:r>
      <w:r>
        <w:rPr>
          <w:rFonts w:hint="eastAsia" w:eastAsia="仿宋_GB2312"/>
          <w:bCs/>
          <w:sz w:val="24"/>
          <w:lang w:val="en-US" w:eastAsia="zh-CN"/>
        </w:rPr>
        <w:t>为“基肥”（见7.2.1）</w:t>
      </w:r>
    </w:p>
    <w:p w14:paraId="258F6A12">
      <w:pPr>
        <w:spacing w:line="400" w:lineRule="exact"/>
        <w:ind w:firstLine="480" w:firstLineChars="200"/>
        <w:rPr>
          <w:rFonts w:hint="eastAsia" w:eastAsia="仿宋_GB2312"/>
          <w:bCs/>
          <w:sz w:val="24"/>
        </w:rPr>
      </w:pPr>
      <w:r>
        <w:rPr>
          <w:rFonts w:hint="eastAsia" w:eastAsia="仿宋_GB2312"/>
          <w:bCs/>
          <w:sz w:val="24"/>
          <w:lang w:eastAsia="zh-CN"/>
        </w:rPr>
        <w:t>（</w:t>
      </w:r>
      <w:r>
        <w:rPr>
          <w:rFonts w:hint="eastAsia" w:eastAsia="仿宋_GB2312"/>
          <w:bCs/>
          <w:sz w:val="24"/>
          <w:lang w:val="en-US" w:eastAsia="zh-CN"/>
        </w:rPr>
        <w:t>9</w:t>
      </w:r>
      <w:r>
        <w:rPr>
          <w:rFonts w:hint="eastAsia" w:eastAsia="仿宋_GB2312"/>
          <w:bCs/>
          <w:sz w:val="24"/>
          <w:lang w:eastAsia="zh-CN"/>
        </w:rPr>
        <w:t>）</w:t>
      </w:r>
      <w:r>
        <w:rPr>
          <w:rFonts w:hint="eastAsia" w:eastAsia="仿宋_GB2312"/>
          <w:bCs/>
          <w:sz w:val="24"/>
        </w:rPr>
        <w:t>删除了疏花和疏果.（见</w:t>
      </w:r>
      <w:r>
        <w:rPr>
          <w:rFonts w:hint="eastAsia" w:eastAsia="仿宋_GB2312"/>
          <w:bCs/>
          <w:sz w:val="24"/>
          <w:lang w:val="en-US" w:eastAsia="zh-CN"/>
        </w:rPr>
        <w:t>6</w:t>
      </w:r>
      <w:r>
        <w:rPr>
          <w:rFonts w:hint="eastAsia" w:eastAsia="仿宋_GB2312"/>
          <w:bCs/>
          <w:sz w:val="24"/>
        </w:rPr>
        <w:t>.3）</w:t>
      </w:r>
    </w:p>
    <w:p w14:paraId="75DA625C">
      <w:pPr>
        <w:spacing w:line="400" w:lineRule="exact"/>
        <w:ind w:firstLine="480" w:firstLineChars="200"/>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10</w:t>
      </w:r>
      <w:r>
        <w:rPr>
          <w:rFonts w:hint="eastAsia" w:eastAsia="仿宋_GB2312"/>
          <w:bCs/>
          <w:sz w:val="24"/>
          <w:lang w:eastAsia="zh-CN"/>
        </w:rPr>
        <w:t>）</w:t>
      </w:r>
      <w:r>
        <w:rPr>
          <w:rFonts w:hint="eastAsia" w:eastAsia="仿宋_GB2312"/>
          <w:bCs/>
          <w:sz w:val="24"/>
          <w:lang w:val="en-US" w:eastAsia="zh-CN"/>
        </w:rPr>
        <w:t>删除全文“一般”的表述</w:t>
      </w:r>
    </w:p>
    <w:p w14:paraId="297655FE">
      <w:pPr>
        <w:spacing w:line="400" w:lineRule="exact"/>
        <w:ind w:firstLine="480" w:firstLineChars="200"/>
        <w:rPr>
          <w:rFonts w:hint="eastAsia" w:eastAsia="仿宋_GB2312"/>
          <w:bCs/>
          <w:sz w:val="24"/>
          <w:lang w:eastAsia="zh-CN"/>
        </w:rPr>
      </w:pPr>
      <w:r>
        <w:rPr>
          <w:rFonts w:hint="eastAsia" w:eastAsia="仿宋_GB2312"/>
          <w:bCs/>
          <w:sz w:val="24"/>
        </w:rPr>
        <w:t>修订原因：表述更准确。</w:t>
      </w:r>
      <w:bookmarkStart w:id="0" w:name="_GoBack"/>
      <w:bookmarkEnd w:id="0"/>
    </w:p>
    <w:p w14:paraId="2238598D">
      <w:pPr>
        <w:spacing w:line="600" w:lineRule="exact"/>
        <w:ind w:right="17" w:firstLine="643" w:firstLineChars="200"/>
        <w:rPr>
          <w:rFonts w:ascii="宋体" w:hAnsi="宋体" w:cs="宋体"/>
          <w:b/>
          <w:sz w:val="32"/>
          <w:szCs w:val="32"/>
        </w:rPr>
      </w:pPr>
      <w:r>
        <w:rPr>
          <w:rFonts w:hint="eastAsia" w:ascii="宋体" w:hAnsi="宋体" w:cs="宋体"/>
          <w:b/>
          <w:sz w:val="32"/>
          <w:szCs w:val="32"/>
        </w:rPr>
        <w:t>六、重大意见分歧的处理依据和结果</w:t>
      </w:r>
    </w:p>
    <w:p w14:paraId="1EE7035A">
      <w:pPr>
        <w:spacing w:line="400" w:lineRule="exact"/>
        <w:ind w:firstLine="480" w:firstLineChars="200"/>
        <w:rPr>
          <w:rFonts w:eastAsia="仿宋_GB2312"/>
          <w:bCs/>
          <w:sz w:val="24"/>
        </w:rPr>
      </w:pPr>
      <w:r>
        <w:rPr>
          <w:rFonts w:hint="eastAsia" w:eastAsia="仿宋_GB2312"/>
          <w:bCs/>
          <w:sz w:val="24"/>
        </w:rPr>
        <w:t>无重大意见分歧</w:t>
      </w:r>
    </w:p>
    <w:p w14:paraId="737CF836">
      <w:pPr>
        <w:spacing w:line="600" w:lineRule="exact"/>
        <w:ind w:right="17" w:firstLine="643" w:firstLineChars="200"/>
        <w:rPr>
          <w:rFonts w:ascii="宋体" w:hAnsi="宋体" w:cs="宋体"/>
          <w:b/>
          <w:sz w:val="32"/>
          <w:szCs w:val="32"/>
        </w:rPr>
      </w:pPr>
      <w:r>
        <w:rPr>
          <w:rFonts w:hint="eastAsia" w:ascii="宋体" w:hAnsi="宋体" w:cs="宋体"/>
          <w:b/>
          <w:sz w:val="32"/>
          <w:szCs w:val="32"/>
        </w:rPr>
        <w:t>七、作为推荐性标准或者强制性标准的建议及其理由。</w:t>
      </w:r>
    </w:p>
    <w:p w14:paraId="19AD2FCC">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本标准的技术内容未涉及到人身、财产安全等内容，建议本标准为推荐性标准。</w:t>
      </w:r>
    </w:p>
    <w:p w14:paraId="319D813F">
      <w:pPr>
        <w:spacing w:line="600" w:lineRule="exact"/>
        <w:ind w:right="17" w:firstLine="643" w:firstLineChars="200"/>
        <w:rPr>
          <w:rFonts w:ascii="宋体" w:hAnsi="宋体" w:cs="宋体"/>
          <w:b/>
          <w:sz w:val="32"/>
          <w:szCs w:val="32"/>
        </w:rPr>
      </w:pPr>
      <w:r>
        <w:rPr>
          <w:rFonts w:hint="eastAsia" w:ascii="宋体" w:hAnsi="宋体" w:cs="宋体"/>
          <w:b/>
          <w:sz w:val="32"/>
          <w:szCs w:val="32"/>
        </w:rPr>
        <w:t>八、实施标准的措施建议</w:t>
      </w:r>
    </w:p>
    <w:p w14:paraId="142B85E6">
      <w:pPr>
        <w:spacing w:line="400" w:lineRule="exact"/>
        <w:ind w:firstLine="480" w:firstLineChars="200"/>
        <w:rPr>
          <w:rFonts w:eastAsia="仿宋_GB2312"/>
          <w:bCs/>
          <w:sz w:val="24"/>
        </w:rPr>
      </w:pPr>
      <w:r>
        <w:rPr>
          <w:rFonts w:hint="eastAsia" w:eastAsia="仿宋_GB2312"/>
          <w:bCs/>
          <w:sz w:val="24"/>
        </w:rPr>
        <w:t>1、加强地方标准化示范性建设，强化地方标准化工作的科学化和规范化，提高标准的制定和修订水平。</w:t>
      </w:r>
    </w:p>
    <w:p w14:paraId="303B6AFE">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2、</w:t>
      </w:r>
      <w:r>
        <w:rPr>
          <w:rFonts w:hint="eastAsia" w:eastAsia="仿宋_GB2312"/>
          <w:bCs/>
          <w:sz w:val="24"/>
        </w:rPr>
        <w:t>二是建立健全地方标准化工作协调机制，强化各级政府主管部门对地方标准化工作的统筹和指导作用，推动地方标准的整合与统一。</w:t>
      </w:r>
    </w:p>
    <w:p w14:paraId="0E7E6363">
      <w:pPr>
        <w:spacing w:line="400" w:lineRule="exact"/>
        <w:ind w:firstLine="480" w:firstLineChars="200"/>
        <w:rPr>
          <w:rFonts w:eastAsia="仿宋_GB2312"/>
          <w:bCs/>
          <w:sz w:val="24"/>
        </w:rPr>
      </w:pPr>
      <w:r>
        <w:rPr>
          <w:rFonts w:hint="eastAsia" w:ascii="仿宋_GB2312" w:hAnsi="宋体" w:eastAsia="仿宋_GB2312"/>
          <w:sz w:val="24"/>
        </w:rPr>
        <w:t>3、</w:t>
      </w:r>
      <w:r>
        <w:rPr>
          <w:rFonts w:hint="eastAsia" w:eastAsia="仿宋_GB2312"/>
          <w:bCs/>
          <w:sz w:val="24"/>
        </w:rPr>
        <w:t>三是积极开展地方标准化宣传与培训工作，提高社会公众对地方标准化工作的认识和理解，提升标准化工作的社会影响力和知名度。</w:t>
      </w:r>
    </w:p>
    <w:p w14:paraId="24D10282">
      <w:pPr>
        <w:spacing w:line="360" w:lineRule="auto"/>
        <w:ind w:firstLine="480" w:firstLineChars="200"/>
        <w:jc w:val="left"/>
        <w:rPr>
          <w:rFonts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p>
    <w:p w14:paraId="13EFAF33">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附表</w:t>
      </w:r>
    </w:p>
    <w:p w14:paraId="5603C34C">
      <w:pPr>
        <w:jc w:val="center"/>
        <w:rPr>
          <w:rFonts w:ascii="仿宋_GB2312" w:hAnsi="宋体" w:eastAsia="仿宋_GB2312"/>
          <w:sz w:val="24"/>
        </w:rPr>
      </w:pPr>
      <w:r>
        <w:rPr>
          <w:rFonts w:hint="eastAsia" w:ascii="仿宋_GB2312" w:hAnsi="宋体" w:eastAsia="仿宋_GB2312"/>
          <w:sz w:val="24"/>
        </w:rPr>
        <w:t>XXX地方标准征求意见汇总处理表</w:t>
      </w:r>
    </w:p>
    <w:p w14:paraId="6B07A5C4">
      <w:pPr>
        <w:jc w:val="center"/>
        <w:rPr>
          <w:rFonts w:ascii="仿宋_GB2312" w:hAnsi="宋体" w:eastAsia="仿宋_GB2312"/>
          <w:color w:val="0000FF"/>
          <w:sz w:val="24"/>
        </w:rPr>
      </w:pPr>
      <w:r>
        <w:rPr>
          <w:rFonts w:hint="eastAsia" w:ascii="仿宋_GB2312" w:hAnsi="宋体" w:eastAsia="仿宋_GB2312"/>
          <w:color w:val="0000FF"/>
          <w:sz w:val="24"/>
        </w:rPr>
        <w:t>（模板详见附录C）</w:t>
      </w:r>
    </w:p>
    <w:sectPr>
      <w:pgSz w:w="16838" w:h="11906" w:orient="landscape"/>
      <w:pgMar w:top="1803" w:right="1440" w:bottom="180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Segoe Print"/>
    <w:panose1 w:val="00000400000000000000"/>
    <w:charset w:val="01"/>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24B03">
    <w:pPr>
      <w:pStyle w:val="8"/>
      <w:jc w:val="center"/>
    </w:pPr>
    <w:r>
      <w:fldChar w:fldCharType="begin"/>
    </w:r>
    <w:r>
      <w:instrText xml:space="preserve">PAGE   \* MERGEFORMAT</w:instrText>
    </w:r>
    <w:r>
      <w:fldChar w:fldCharType="separate"/>
    </w:r>
    <w:r>
      <w:rPr>
        <w:lang w:val="zh-CN"/>
      </w:rPr>
      <w:t>3</w:t>
    </w:r>
    <w:r>
      <w:fldChar w:fldCharType="end"/>
    </w:r>
  </w:p>
  <w:p w14:paraId="05A45230">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70A6AF6"/>
    <w:multiLevelType w:val="singleLevel"/>
    <w:tmpl w:val="570A6AF6"/>
    <w:lvl w:ilvl="0" w:tentative="0">
      <w:start w:val="1"/>
      <w:numFmt w:val="decimal"/>
      <w:suff w:val="nothing"/>
      <w:lvlText w:val="%1、"/>
      <w:lvlJc w:val="left"/>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TrackMoves/>
  <w:documentProtection w:enforcement="0"/>
  <w:defaultTabStop w:val="420"/>
  <w:drawingGridHorizontalSpacing w:val="105"/>
  <w:drawingGridVerticalSpacing w:val="159"/>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OGYyZmZjMjE3MDc4ZTZmNTg0NDA2OWM5ZWY0MjcwNGM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A5376"/>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095"/>
    <w:rsid w:val="0074190C"/>
    <w:rsid w:val="00755C73"/>
    <w:rsid w:val="00757A64"/>
    <w:rsid w:val="00760C71"/>
    <w:rsid w:val="00763867"/>
    <w:rsid w:val="00767B97"/>
    <w:rsid w:val="0077176C"/>
    <w:rsid w:val="00771FD6"/>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1722330"/>
    <w:rsid w:val="01964270"/>
    <w:rsid w:val="01B666C0"/>
    <w:rsid w:val="061B4D44"/>
    <w:rsid w:val="06B807E5"/>
    <w:rsid w:val="072A7934"/>
    <w:rsid w:val="0781151E"/>
    <w:rsid w:val="07C17B6D"/>
    <w:rsid w:val="08DC4C5E"/>
    <w:rsid w:val="09652EA6"/>
    <w:rsid w:val="0CE045F1"/>
    <w:rsid w:val="0DC14423"/>
    <w:rsid w:val="0F5F3EF3"/>
    <w:rsid w:val="0FF705D0"/>
    <w:rsid w:val="116E6670"/>
    <w:rsid w:val="13427DB4"/>
    <w:rsid w:val="154C316C"/>
    <w:rsid w:val="15791A87"/>
    <w:rsid w:val="159863B1"/>
    <w:rsid w:val="159D7523"/>
    <w:rsid w:val="15FC6940"/>
    <w:rsid w:val="16685D83"/>
    <w:rsid w:val="167069E6"/>
    <w:rsid w:val="16946B78"/>
    <w:rsid w:val="17575DF8"/>
    <w:rsid w:val="19D159ED"/>
    <w:rsid w:val="1A18186E"/>
    <w:rsid w:val="1A4A57A0"/>
    <w:rsid w:val="1CB3587E"/>
    <w:rsid w:val="1F59095F"/>
    <w:rsid w:val="1F66307C"/>
    <w:rsid w:val="20AF45AF"/>
    <w:rsid w:val="223D6DA5"/>
    <w:rsid w:val="228757E3"/>
    <w:rsid w:val="22A068A5"/>
    <w:rsid w:val="22A719E1"/>
    <w:rsid w:val="23342189"/>
    <w:rsid w:val="2556362B"/>
    <w:rsid w:val="25583467"/>
    <w:rsid w:val="25675458"/>
    <w:rsid w:val="258204E4"/>
    <w:rsid w:val="264659B5"/>
    <w:rsid w:val="269E759F"/>
    <w:rsid w:val="27C60B5C"/>
    <w:rsid w:val="27CB7F20"/>
    <w:rsid w:val="27E45486"/>
    <w:rsid w:val="28E82D54"/>
    <w:rsid w:val="2A2E0C3A"/>
    <w:rsid w:val="2AFA0B1C"/>
    <w:rsid w:val="2B876854"/>
    <w:rsid w:val="2C183950"/>
    <w:rsid w:val="2C416A03"/>
    <w:rsid w:val="2D960FD0"/>
    <w:rsid w:val="2E2B796A"/>
    <w:rsid w:val="2E4647A4"/>
    <w:rsid w:val="2F57478F"/>
    <w:rsid w:val="34254E5C"/>
    <w:rsid w:val="34A9783B"/>
    <w:rsid w:val="35011425"/>
    <w:rsid w:val="35F76384"/>
    <w:rsid w:val="36486BE0"/>
    <w:rsid w:val="36A6399A"/>
    <w:rsid w:val="380F34FA"/>
    <w:rsid w:val="3AF9494C"/>
    <w:rsid w:val="3B6A75F8"/>
    <w:rsid w:val="3C486E43"/>
    <w:rsid w:val="3C8B5A78"/>
    <w:rsid w:val="3D25D500"/>
    <w:rsid w:val="3E0755D2"/>
    <w:rsid w:val="3E90381A"/>
    <w:rsid w:val="3EEF98DD"/>
    <w:rsid w:val="3F051B12"/>
    <w:rsid w:val="3F9FD22F"/>
    <w:rsid w:val="405A7C3B"/>
    <w:rsid w:val="416E27E2"/>
    <w:rsid w:val="419D0727"/>
    <w:rsid w:val="42CD6DEA"/>
    <w:rsid w:val="44ED5522"/>
    <w:rsid w:val="45CA5863"/>
    <w:rsid w:val="463B050F"/>
    <w:rsid w:val="46647A66"/>
    <w:rsid w:val="470749E1"/>
    <w:rsid w:val="471548BC"/>
    <w:rsid w:val="47F6293F"/>
    <w:rsid w:val="483416BA"/>
    <w:rsid w:val="49267254"/>
    <w:rsid w:val="499E503D"/>
    <w:rsid w:val="4AE27CA5"/>
    <w:rsid w:val="4AFB201B"/>
    <w:rsid w:val="4C017B05"/>
    <w:rsid w:val="4C327CBE"/>
    <w:rsid w:val="4D0E4287"/>
    <w:rsid w:val="4D1B4BF6"/>
    <w:rsid w:val="4D950F2D"/>
    <w:rsid w:val="4F2C6C47"/>
    <w:rsid w:val="4F7B247E"/>
    <w:rsid w:val="51364E66"/>
    <w:rsid w:val="51DB10BA"/>
    <w:rsid w:val="52C75B69"/>
    <w:rsid w:val="52DE294E"/>
    <w:rsid w:val="530879CB"/>
    <w:rsid w:val="53A21BCD"/>
    <w:rsid w:val="53B11E10"/>
    <w:rsid w:val="55823A64"/>
    <w:rsid w:val="56951575"/>
    <w:rsid w:val="56DD55CC"/>
    <w:rsid w:val="570566FB"/>
    <w:rsid w:val="57201787"/>
    <w:rsid w:val="57D94567"/>
    <w:rsid w:val="582F1556"/>
    <w:rsid w:val="58CD2631"/>
    <w:rsid w:val="596671F9"/>
    <w:rsid w:val="59A815C0"/>
    <w:rsid w:val="59CD1026"/>
    <w:rsid w:val="5ABC17C7"/>
    <w:rsid w:val="5BCE7A03"/>
    <w:rsid w:val="5CB87D6C"/>
    <w:rsid w:val="5CFF1606"/>
    <w:rsid w:val="5DFFCE9C"/>
    <w:rsid w:val="5E4C5D9A"/>
    <w:rsid w:val="5F261904"/>
    <w:rsid w:val="5FB81DCD"/>
    <w:rsid w:val="60235E44"/>
    <w:rsid w:val="60432042"/>
    <w:rsid w:val="606A3A73"/>
    <w:rsid w:val="611D2893"/>
    <w:rsid w:val="61504A17"/>
    <w:rsid w:val="61BC02FE"/>
    <w:rsid w:val="623205C0"/>
    <w:rsid w:val="62FD0BCE"/>
    <w:rsid w:val="63147CC6"/>
    <w:rsid w:val="63493E13"/>
    <w:rsid w:val="63BD8BA4"/>
    <w:rsid w:val="63CC234F"/>
    <w:rsid w:val="64EA5182"/>
    <w:rsid w:val="6525440C"/>
    <w:rsid w:val="65414EAE"/>
    <w:rsid w:val="66A23F66"/>
    <w:rsid w:val="66C739CD"/>
    <w:rsid w:val="69026F3E"/>
    <w:rsid w:val="6A2E78BF"/>
    <w:rsid w:val="6A90057A"/>
    <w:rsid w:val="6A9F256B"/>
    <w:rsid w:val="6ADC556D"/>
    <w:rsid w:val="6BD3071E"/>
    <w:rsid w:val="6BFEE3C0"/>
    <w:rsid w:val="6BFF0146"/>
    <w:rsid w:val="6D8E6FF3"/>
    <w:rsid w:val="6E6C6C08"/>
    <w:rsid w:val="6E8F2CB3"/>
    <w:rsid w:val="6EA463A2"/>
    <w:rsid w:val="6EFD90F7"/>
    <w:rsid w:val="6FD452D8"/>
    <w:rsid w:val="7027728A"/>
    <w:rsid w:val="702F613F"/>
    <w:rsid w:val="708E730A"/>
    <w:rsid w:val="71A861A9"/>
    <w:rsid w:val="722C6DDA"/>
    <w:rsid w:val="724E485F"/>
    <w:rsid w:val="72CB65F3"/>
    <w:rsid w:val="72DE18B7"/>
    <w:rsid w:val="7329008F"/>
    <w:rsid w:val="73DC038C"/>
    <w:rsid w:val="74806F69"/>
    <w:rsid w:val="749F1AE5"/>
    <w:rsid w:val="76066838"/>
    <w:rsid w:val="769B452E"/>
    <w:rsid w:val="77C6AB6B"/>
    <w:rsid w:val="77FF4F98"/>
    <w:rsid w:val="789254BD"/>
    <w:rsid w:val="79C93160"/>
    <w:rsid w:val="79FF0142"/>
    <w:rsid w:val="7BE81FC4"/>
    <w:rsid w:val="7BFB120F"/>
    <w:rsid w:val="7E484F9C"/>
    <w:rsid w:val="7F741DC0"/>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6"/>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99"/>
    <w:pPr>
      <w:suppressLineNumbers/>
      <w:suppressAutoHyphens/>
      <w:spacing w:before="120" w:after="120"/>
    </w:pPr>
    <w:rPr>
      <w:rFonts w:cs="Mangal"/>
      <w:i/>
      <w:iCs/>
      <w:kern w:val="21"/>
      <w:sz w:val="24"/>
      <w:lang w:eastAsia="ar-SA"/>
    </w:rPr>
  </w:style>
  <w:style w:type="paragraph" w:styleId="5">
    <w:name w:val="Body Text"/>
    <w:basedOn w:val="1"/>
    <w:link w:val="26"/>
    <w:qFormat/>
    <w:uiPriority w:val="0"/>
    <w:pPr>
      <w:spacing w:after="120"/>
    </w:pPr>
  </w:style>
  <w:style w:type="paragraph" w:styleId="6">
    <w:name w:val="Date"/>
    <w:basedOn w:val="1"/>
    <w:next w:val="1"/>
    <w:link w:val="25"/>
    <w:semiHidden/>
    <w:unhideWhenUsed/>
    <w:qFormat/>
    <w:uiPriority w:val="99"/>
    <w:pPr>
      <w:ind w:left="100" w:leftChars="2500"/>
    </w:p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99"/>
    <w:rPr>
      <w:rFonts w:cs="Times New Roman"/>
      <w:b/>
    </w:rPr>
  </w:style>
  <w:style w:type="character" w:customStyle="1" w:styleId="15">
    <w:name w:val="标题 1 Char"/>
    <w:link w:val="2"/>
    <w:qFormat/>
    <w:locked/>
    <w:uiPriority w:val="99"/>
    <w:rPr>
      <w:rFonts w:cs="Times New Roman"/>
      <w:b/>
      <w:kern w:val="1"/>
      <w:sz w:val="44"/>
      <w:lang w:eastAsia="ar-SA" w:bidi="ar-SA"/>
    </w:rPr>
  </w:style>
  <w:style w:type="character" w:customStyle="1" w:styleId="16">
    <w:name w:val="标题 3 Char"/>
    <w:link w:val="3"/>
    <w:qFormat/>
    <w:locked/>
    <w:uiPriority w:val="99"/>
    <w:rPr>
      <w:rFonts w:cs="Times New Roman"/>
      <w:b/>
      <w:kern w:val="21"/>
      <w:sz w:val="32"/>
      <w:lang w:eastAsia="ar-SA" w:bidi="ar-SA"/>
    </w:rPr>
  </w:style>
  <w:style w:type="paragraph" w:styleId="17">
    <w:name w:val="List Paragraph"/>
    <w:basedOn w:val="1"/>
    <w:qFormat/>
    <w:uiPriority w:val="99"/>
    <w:pPr>
      <w:suppressAutoHyphens/>
      <w:ind w:firstLine="420" w:firstLineChars="200"/>
    </w:pPr>
    <w:rPr>
      <w:kern w:val="21"/>
      <w:lang w:eastAsia="ar-SA"/>
    </w:rPr>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qFormat/>
    <w:locked/>
    <w:uiPriority w:val="0"/>
    <w:rPr>
      <w:rFonts w:ascii="宋体" w:cs="Times New Roman"/>
      <w:sz w:val="21"/>
      <w:lang w:val="en-US" w:eastAsia="zh-CN" w:bidi="ar-SA"/>
    </w:rPr>
  </w:style>
  <w:style w:type="character" w:customStyle="1" w:styleId="20">
    <w:name w:val="页眉 Char"/>
    <w:link w:val="9"/>
    <w:qFormat/>
    <w:uiPriority w:val="99"/>
    <w:rPr>
      <w:sz w:val="18"/>
      <w:szCs w:val="18"/>
    </w:rPr>
  </w:style>
  <w:style w:type="character" w:customStyle="1" w:styleId="21">
    <w:name w:val="页脚 Char"/>
    <w:link w:val="8"/>
    <w:qFormat/>
    <w:uiPriority w:val="99"/>
    <w:rPr>
      <w:sz w:val="18"/>
      <w:szCs w:val="18"/>
    </w:rPr>
  </w:style>
  <w:style w:type="character" w:customStyle="1" w:styleId="22">
    <w:name w:val="批注框文本 Char"/>
    <w:link w:val="7"/>
    <w:semiHidden/>
    <w:qFormat/>
    <w:uiPriority w:val="99"/>
    <w:rPr>
      <w:kern w:val="2"/>
      <w:sz w:val="18"/>
      <w:szCs w:val="18"/>
    </w:rPr>
  </w:style>
  <w:style w:type="table" w:customStyle="1" w:styleId="23">
    <w:name w:val="浅色底纹1"/>
    <w:basedOn w:val="11"/>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4">
    <w:name w:val="浅色底纹2"/>
    <w:basedOn w:val="11"/>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5">
    <w:name w:val="日期 Char"/>
    <w:basedOn w:val="13"/>
    <w:link w:val="6"/>
    <w:semiHidden/>
    <w:qFormat/>
    <w:uiPriority w:val="99"/>
    <w:rPr>
      <w:kern w:val="2"/>
      <w:sz w:val="21"/>
      <w:szCs w:val="24"/>
    </w:rPr>
  </w:style>
  <w:style w:type="character" w:customStyle="1" w:styleId="26">
    <w:name w:val="正文文本 Char"/>
    <w:basedOn w:val="13"/>
    <w:link w:val="5"/>
    <w:qFormat/>
    <w:uiPriority w:val="0"/>
    <w:rPr>
      <w:kern w:val="2"/>
      <w:sz w:val="21"/>
      <w:szCs w:val="24"/>
    </w:rPr>
  </w:style>
  <w:style w:type="paragraph" w:customStyle="1" w:styleId="27">
    <w:name w:val="标准文件_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标准文件_段 Char"/>
    <w:link w:val="27"/>
    <w:qFormat/>
    <w:uiPriority w:val="0"/>
    <w:rPr>
      <w:rFonts w:ascii="宋体"/>
      <w:sz w:val="21"/>
    </w:rPr>
  </w:style>
  <w:style w:type="paragraph" w:customStyle="1" w:styleId="29">
    <w:name w:val="一级条标题"/>
    <w:next w:val="18"/>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0">
    <w:name w:val="二级条标题"/>
    <w:basedOn w:val="29"/>
    <w:next w:val="18"/>
    <w:qFormat/>
    <w:uiPriority w:val="0"/>
    <w:pPr>
      <w:numPr>
        <w:ilvl w:val="2"/>
      </w:numPr>
      <w:spacing w:before="50" w:after="50"/>
      <w:outlineLvl w:val="3"/>
    </w:pPr>
  </w:style>
  <w:style w:type="paragraph" w:customStyle="1" w:styleId="31">
    <w:name w:val="附录表标题"/>
    <w:basedOn w:val="1"/>
    <w:next w:val="18"/>
    <w:qFormat/>
    <w:uiPriority w:val="0"/>
    <w:pPr>
      <w:numPr>
        <w:ilvl w:val="1"/>
        <w:numId w:val="2"/>
      </w:numPr>
      <w:tabs>
        <w:tab w:val="left" w:pos="180"/>
      </w:tabs>
      <w:spacing w:beforeLines="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5</Pages>
  <Words>84</Words>
  <Characters>84</Characters>
  <Lines>12</Lines>
  <Paragraphs>3</Paragraphs>
  <TotalTime>0</TotalTime>
  <ScaleCrop>false</ScaleCrop>
  <LinksUpToDate>false</LinksUpToDate>
  <CharactersWithSpaces>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2016-02-24T23:17:00Z</dcterms:created>
  <dc:creator>lenovo</dc:creator>
  <cp:lastModifiedBy>为众</cp:lastModifiedBy>
  <cp:lastPrinted>2017-01-18T23:31:00Z</cp:lastPrinted>
  <dcterms:modified xsi:type="dcterms:W3CDTF">2024-10-29T08:19:25Z</dcterms:modified>
  <cp:revision>537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16DEC057891D4C0DB8764FBC7996C205_13</vt:lpwstr>
  </property>
</Properties>
</file>